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B8" w:rsidRDefault="00AA5F9C" w:rsidP="00B72FB8">
      <w:pPr>
        <w:jc w:val="right"/>
      </w:pPr>
      <w:r w:rsidRPr="00AA5F9C">
        <w:rPr>
          <w:b/>
          <w:noProof/>
        </w:rPr>
        <w:pict>
          <v:shapetype id="_x0000_t202" coordsize="21600,21600" o:spt="202" path="m,l,21600r21600,l21600,xe">
            <v:stroke joinstyle="miter"/>
            <v:path gradientshapeok="t" o:connecttype="rect"/>
          </v:shapetype>
          <v:shape id="Text Box 3" o:spid="_x0000_s1026" type="#_x0000_t202" style="position:absolute;left:0;text-align:left;margin-left:-8.4pt;margin-top:4pt;width:388.8pt;height:8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" fillcolor="#8aabd3 [2132]" stroked="f" strokeweight="1.5pt">
            <v:fill color2="white [3212]" rotate="t" angle="90" colors="0 #9ab5e4;27525f #c2d1ed;63570f white" focus="100%" type="gradient"/>
            <v:textbox>
              <w:txbxContent>
                <w:p w:rsidR="00F47A91" w:rsidRPr="00665AE0" w:rsidRDefault="00F47A91" w:rsidP="00B72FB8">
                  <w:pPr>
                    <w:rPr>
                      <w:rFonts w:ascii="Arial" w:eastAsia="Arial Unicode MS" w:hAnsi="Arial" w:cs="Arial"/>
                      <w:b/>
                      <w:color w:val="FFFFFF" w:themeColor="background1"/>
                      <w:sz w:val="52"/>
                      <w:szCs w:val="52"/>
                    </w:rPr>
                  </w:pPr>
                  <w:r>
                    <w:rPr>
                      <w:rFonts w:ascii="Arial" w:eastAsia="Arial Unicode MS" w:hAnsi="Arial" w:cs="Arial"/>
                      <w:b/>
                      <w:color w:val="FFFFFF" w:themeColor="background1"/>
                      <w:sz w:val="52"/>
                      <w:szCs w:val="52"/>
                    </w:rPr>
                    <w:t>Industry Feedback</w:t>
                  </w:r>
                </w:p>
                <w:p w:rsidR="00F47A91" w:rsidRDefault="00F47A91" w:rsidP="00B72FB8">
                  <w:pPr>
                    <w:jc w:val="center"/>
                    <w:rPr>
                      <w:rFonts w:ascii="Arial" w:eastAsia="Arial Unicode MS" w:hAnsi="Arial" w:cs="Arial"/>
                      <w:b/>
                      <w:i/>
                      <w:sz w:val="32"/>
                      <w:szCs w:val="32"/>
                    </w:rPr>
                  </w:pPr>
                </w:p>
                <w:p w:rsidR="00F47A91" w:rsidRPr="00E2402A" w:rsidRDefault="00F47A91" w:rsidP="00B72FB8">
                  <w:pPr>
                    <w:rPr>
                      <w:rFonts w:ascii="Arial" w:eastAsia="Arial Unicode MS" w:hAnsi="Arial" w:cs="Arial"/>
                      <w:i/>
                      <w:sz w:val="32"/>
                      <w:szCs w:val="32"/>
                    </w:rPr>
                  </w:pPr>
                  <w:r w:rsidRPr="00665AE0">
                    <w:rPr>
                      <w:rFonts w:ascii="Arial" w:eastAsia="Arial Unicode MS" w:hAnsi="Arial" w:cs="Arial"/>
                      <w:b/>
                      <w:i/>
                      <w:sz w:val="32"/>
                      <w:szCs w:val="32"/>
                    </w:rPr>
                    <w:t>qldwater</w:t>
                  </w:r>
                  <w:r w:rsidRPr="00665AE0">
                    <w:rPr>
                      <w:rFonts w:ascii="Arial" w:eastAsia="Arial Unicode MS" w:hAnsi="Arial" w:cs="Arial"/>
                      <w:i/>
                      <w:sz w:val="32"/>
                      <w:szCs w:val="32"/>
                    </w:rPr>
                    <w:t xml:space="preserve"> </w:t>
                  </w:r>
                  <w:r>
                    <w:rPr>
                      <w:rFonts w:ascii="Arial" w:eastAsia="Arial Unicode MS" w:hAnsi="Arial" w:cs="Arial"/>
                      <w:i/>
                      <w:sz w:val="32"/>
                      <w:szCs w:val="32"/>
                    </w:rPr>
                    <w:t>consolidated feedback</w:t>
                  </w:r>
                </w:p>
              </w:txbxContent>
            </v:textbox>
          </v:shape>
        </w:pict>
      </w:r>
      <w:r w:rsidR="00B72FB8">
        <w:rPr>
          <w:noProof/>
        </w:rPr>
        <w:drawing>
          <wp:inline distT="0" distB="0" distL="0" distR="0">
            <wp:extent cx="849600" cy="1159200"/>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 Water logo_colou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9600" cy="1159200"/>
                    </a:xfrm>
                    <a:prstGeom prst="rect">
                      <a:avLst/>
                    </a:prstGeom>
                  </pic:spPr>
                </pic:pic>
              </a:graphicData>
            </a:graphic>
          </wp:inline>
        </w:drawing>
      </w:r>
    </w:p>
    <w:p w:rsidR="00B72FB8" w:rsidRDefault="00B72FB8" w:rsidP="00B72FB8">
      <w:pPr>
        <w:rPr>
          <w:b/>
          <w:sz w:val="44"/>
        </w:rPr>
      </w:pPr>
    </w:p>
    <w:p w:rsidR="00B72FB8" w:rsidRDefault="00B72FB8" w:rsidP="00B72FB8">
      <w:pPr>
        <w:rPr>
          <w:b/>
          <w:sz w:val="44"/>
        </w:rPr>
      </w:pPr>
    </w:p>
    <w:p w:rsidR="00B72FB8" w:rsidRPr="00CC180B" w:rsidRDefault="003A51E5" w:rsidP="00B72FB8">
      <w:pPr>
        <w:rPr>
          <w:b/>
          <w:sz w:val="56"/>
        </w:rPr>
      </w:pPr>
      <w:r>
        <w:rPr>
          <w:b/>
          <w:sz w:val="56"/>
        </w:rPr>
        <w:t>Feedback on the</w:t>
      </w:r>
      <w:r w:rsidR="00DA7458">
        <w:rPr>
          <w:b/>
          <w:sz w:val="56"/>
        </w:rPr>
        <w:t xml:space="preserve"> </w:t>
      </w:r>
      <w:r w:rsidR="00FB2A4E">
        <w:rPr>
          <w:b/>
          <w:sz w:val="56"/>
        </w:rPr>
        <w:t xml:space="preserve">third </w:t>
      </w:r>
      <w:r w:rsidR="00DA7458">
        <w:rPr>
          <w:b/>
          <w:sz w:val="56"/>
        </w:rPr>
        <w:t>d</w:t>
      </w:r>
      <w:r w:rsidR="00DA5874">
        <w:rPr>
          <w:b/>
          <w:sz w:val="56"/>
        </w:rPr>
        <w:t>raft Point Source Water Quality Offsets Policy</w:t>
      </w:r>
    </w:p>
    <w:p w:rsidR="00B72FB8" w:rsidRPr="00E2402A" w:rsidRDefault="00B72FB8" w:rsidP="00B72FB8">
      <w:pPr>
        <w:rPr>
          <w:b/>
          <w:sz w:val="44"/>
        </w:rPr>
      </w:pPr>
    </w:p>
    <w:p w:rsidR="00B72FB8" w:rsidRDefault="00B72FB8" w:rsidP="00B72FB8">
      <w:pPr>
        <w:rPr>
          <w:b/>
          <w:sz w:val="36"/>
        </w:rPr>
      </w:pPr>
    </w:p>
    <w:p w:rsidR="00B72FB8" w:rsidRPr="00AF34BD" w:rsidRDefault="0075172C" w:rsidP="00B72FB8">
      <w:pPr>
        <w:rPr>
          <w:b/>
          <w:sz w:val="40"/>
        </w:rPr>
      </w:pPr>
      <w:r>
        <w:rPr>
          <w:b/>
          <w:sz w:val="40"/>
        </w:rPr>
        <w:t>A</w:t>
      </w:r>
      <w:r w:rsidR="009E39FF">
        <w:rPr>
          <w:b/>
          <w:sz w:val="40"/>
        </w:rPr>
        <w:t>ugust</w:t>
      </w:r>
      <w:r>
        <w:rPr>
          <w:b/>
          <w:sz w:val="40"/>
        </w:rPr>
        <w:t xml:space="preserve"> </w:t>
      </w:r>
      <w:r w:rsidR="00B72FB8" w:rsidRPr="00AF34BD">
        <w:rPr>
          <w:b/>
          <w:sz w:val="40"/>
        </w:rPr>
        <w:t>201</w:t>
      </w:r>
      <w:r>
        <w:rPr>
          <w:b/>
          <w:sz w:val="40"/>
        </w:rPr>
        <w:t>8</w:t>
      </w:r>
    </w:p>
    <w:p w:rsidR="00B72FB8" w:rsidRDefault="00B72FB8" w:rsidP="00B72FB8"/>
    <w:p w:rsidR="00F47A91" w:rsidRDefault="00F47A91" w:rsidP="00B72FB8"/>
    <w:p w:rsidR="00117DB2" w:rsidRDefault="00117DB2" w:rsidP="00117DB2">
      <w:pPr>
        <w:pStyle w:val="Heading1"/>
      </w:pPr>
      <w:bookmarkStart w:id="0" w:name="_Toc511392826"/>
      <w:r>
        <w:t>Summary</w:t>
      </w:r>
      <w:bookmarkEnd w:id="0"/>
    </w:p>
    <w:p w:rsidR="00385D86" w:rsidRDefault="00385D86" w:rsidP="00117DB2">
      <w:r w:rsidRPr="00E84FB8">
        <w:t>The Queensland Water Directorate (</w:t>
      </w:r>
      <w:r w:rsidRPr="00E84FB8">
        <w:rPr>
          <w:b/>
          <w:i/>
        </w:rPr>
        <w:t>qldwater</w:t>
      </w:r>
      <w:r w:rsidRPr="00E84FB8">
        <w:t xml:space="preserve">) is the central advisory and advocacy body within </w:t>
      </w:r>
      <w:r w:rsidR="00523EC4">
        <w:t>the</w:t>
      </w:r>
      <w:r w:rsidRPr="00E84FB8">
        <w:t xml:space="preserve"> </w:t>
      </w:r>
      <w:r w:rsidR="00523EC4">
        <w:t xml:space="preserve">Queensland </w:t>
      </w:r>
      <w:r w:rsidRPr="00E84FB8">
        <w:t xml:space="preserve">urban water </w:t>
      </w:r>
      <w:r w:rsidR="009E3EEF">
        <w:t>sector</w:t>
      </w:r>
      <w:r w:rsidRPr="00E84FB8">
        <w:t xml:space="preserve"> representing </w:t>
      </w:r>
      <w:r w:rsidR="00523EC4">
        <w:t xml:space="preserve">public </w:t>
      </w:r>
      <w:r w:rsidRPr="00E84FB8">
        <w:t>Water</w:t>
      </w:r>
      <w:r w:rsidR="009E3EEF">
        <w:t xml:space="preserve"> and Sewerage</w:t>
      </w:r>
      <w:r w:rsidRPr="00E84FB8">
        <w:t xml:space="preserve"> Service Providers, from small local governments up to major utilities including Queensland Urban Utilities and Unitywater.  </w:t>
      </w:r>
      <w:r w:rsidRPr="00E84FB8">
        <w:rPr>
          <w:b/>
          <w:i/>
        </w:rPr>
        <w:t>qldwater</w:t>
      </w:r>
      <w:r w:rsidRPr="00E84FB8">
        <w:t xml:space="preserve"> works with its members to provide safe, secure and sustainable urban services to Queensland communities.</w:t>
      </w:r>
    </w:p>
    <w:p w:rsidR="00385D86" w:rsidRDefault="00385D86" w:rsidP="00117DB2"/>
    <w:p w:rsidR="00892DCE" w:rsidRDefault="00523EC4" w:rsidP="00892DCE">
      <w:pPr>
        <w:rPr>
          <w:rFonts w:eastAsia="Times New Roman"/>
          <w:b/>
          <w:bCs/>
        </w:rPr>
      </w:pPr>
      <w:r w:rsidRPr="00523EC4">
        <w:rPr>
          <w:b/>
          <w:i/>
        </w:rPr>
        <w:t>qldwater</w:t>
      </w:r>
      <w:r>
        <w:t xml:space="preserve"> has reflected feedback from the sector on </w:t>
      </w:r>
      <w:r w:rsidR="00385765">
        <w:t>th</w:t>
      </w:r>
      <w:r>
        <w:t xml:space="preserve">e </w:t>
      </w:r>
      <w:r w:rsidR="00266B91">
        <w:t>latest P</w:t>
      </w:r>
      <w:r>
        <w:t>oint Source Water Quality Offsets P</w:t>
      </w:r>
      <w:r w:rsidR="00385765">
        <w:t>olicy</w:t>
      </w:r>
      <w:r>
        <w:t xml:space="preserve"> (the Policy)</w:t>
      </w:r>
      <w:r w:rsidR="00385765">
        <w:t xml:space="preserve"> </w:t>
      </w:r>
      <w:r w:rsidR="00266B91">
        <w:t>which is essential to the</w:t>
      </w:r>
      <w:r w:rsidR="00385765">
        <w:t xml:space="preserve"> future environmental sustainability of Queensland communities</w:t>
      </w:r>
      <w:r>
        <w:t>. F</w:t>
      </w:r>
      <w:r w:rsidR="00385765">
        <w:t xml:space="preserve">lexible options are urgently needed to improve environmental protection with more efficient use of limited public funding. The </w:t>
      </w:r>
      <w:r>
        <w:t>P</w:t>
      </w:r>
      <w:r w:rsidR="00385765">
        <w:t xml:space="preserve">olicy could provide an essential foundation for such options </w:t>
      </w:r>
      <w:r w:rsidR="00892DCE">
        <w:t xml:space="preserve">including recognition of the need for risk sharing and  </w:t>
      </w:r>
    </w:p>
    <w:p w:rsidR="00892DCE" w:rsidRDefault="00892DCE" w:rsidP="00892DCE">
      <w:pPr>
        <w:rPr>
          <w:rFonts w:eastAsia="Times New Roman"/>
        </w:rPr>
      </w:pPr>
      <w:r w:rsidRPr="00266B91">
        <w:rPr>
          <w:rFonts w:eastAsia="Times New Roman"/>
          <w:bCs/>
        </w:rPr>
        <w:t>incentives to reduce risks and costs</w:t>
      </w:r>
      <w:r>
        <w:rPr>
          <w:rFonts w:eastAsia="Times New Roman"/>
        </w:rPr>
        <w:t>.</w:t>
      </w:r>
    </w:p>
    <w:p w:rsidR="00892DCE" w:rsidRDefault="00892DCE" w:rsidP="00892DCE">
      <w:pPr>
        <w:rPr>
          <w:rFonts w:eastAsia="Times New Roman"/>
        </w:rPr>
      </w:pPr>
    </w:p>
    <w:p w:rsidR="0033284C" w:rsidRDefault="0097389D" w:rsidP="0033284C">
      <w:r>
        <w:t xml:space="preserve">The current draft policy </w:t>
      </w:r>
      <w:r w:rsidR="00266B91">
        <w:t xml:space="preserve">is a marked improvement on the previous version and </w:t>
      </w:r>
      <w:r>
        <w:t xml:space="preserve">allows for </w:t>
      </w:r>
      <w:r w:rsidR="00E11248">
        <w:t>more</w:t>
      </w:r>
      <w:r>
        <w:t xml:space="preserve"> flexibility and innovation within the sector, </w:t>
      </w:r>
      <w:r w:rsidR="00266B91">
        <w:t>greater partnership</w:t>
      </w:r>
      <w:r>
        <w:t xml:space="preserve"> with the Department, </w:t>
      </w:r>
      <w:r w:rsidR="00266B91">
        <w:t xml:space="preserve">and provides clarification on </w:t>
      </w:r>
      <w:r w:rsidR="00E11248">
        <w:t xml:space="preserve">several </w:t>
      </w:r>
      <w:r w:rsidR="00266B91">
        <w:t>issues identified</w:t>
      </w:r>
      <w:r w:rsidR="0033284C">
        <w:t xml:space="preserve"> </w:t>
      </w:r>
      <w:r w:rsidR="00266B91">
        <w:t>in</w:t>
      </w:r>
      <w:r w:rsidR="0033284C">
        <w:t xml:space="preserve"> previous drafts.</w:t>
      </w:r>
      <w:r w:rsidR="00266B91">
        <w:t xml:space="preserve"> The following summary feedback provides suggestions to clarify some remaining issues</w:t>
      </w:r>
      <w:r w:rsidR="00E11248">
        <w:t xml:space="preserve"> and a commentary on the new Draft Guideline</w:t>
      </w:r>
      <w:r w:rsidR="00266B91">
        <w:t xml:space="preserve">. A marked-up version of the </w:t>
      </w:r>
      <w:r w:rsidR="00E11248">
        <w:t>Policy i</w:t>
      </w:r>
      <w:r w:rsidR="00266B91">
        <w:t>s a</w:t>
      </w:r>
      <w:r w:rsidR="00E11248">
        <w:t>ttached to</w:t>
      </w:r>
      <w:r w:rsidR="00266B91">
        <w:t xml:space="preserve"> support the comments and </w:t>
      </w:r>
      <w:r w:rsidR="00E11248">
        <w:t xml:space="preserve">suggest </w:t>
      </w:r>
      <w:r w:rsidR="00266B91">
        <w:t>points of clarification and minor typographical errors.</w:t>
      </w:r>
      <w:r w:rsidR="0033284C">
        <w:t xml:space="preserve"> </w:t>
      </w:r>
    </w:p>
    <w:p w:rsidR="00266B91" w:rsidRDefault="00266B91" w:rsidP="0033284C"/>
    <w:p w:rsidR="00266B91" w:rsidRDefault="00266B91" w:rsidP="00266B91">
      <w:r>
        <w:t>The sector would still like to see an industry panel or working group established by DES, to help with the implementation of offsets policy and potential trials. Given the importance and innovative nature of the Policy, consideration should be given to a second industry review once it has been implemented for a period of time (say 24 months).</w:t>
      </w:r>
    </w:p>
    <w:p w:rsidR="00266B91" w:rsidRDefault="00266B91" w:rsidP="0033284C"/>
    <w:p w:rsidR="00B72FB8" w:rsidRDefault="00B72FB8" w:rsidP="00B72FB8">
      <w:pPr>
        <w:pStyle w:val="Heading1"/>
      </w:pPr>
      <w:bookmarkStart w:id="1" w:name="_Toc511392827"/>
      <w:r>
        <w:lastRenderedPageBreak/>
        <w:t>Background</w:t>
      </w:r>
      <w:bookmarkEnd w:id="1"/>
    </w:p>
    <w:p w:rsidR="00A518C6" w:rsidRDefault="0075172C" w:rsidP="00892DCE">
      <w:r>
        <w:t>In 2017 the Environment Department sought to upgrade the existing ‘</w:t>
      </w:r>
      <w:hyperlink r:id="rId9" w:history="1">
        <w:r w:rsidRPr="0075172C">
          <w:rPr>
            <w:rStyle w:val="Hyperlink"/>
          </w:rPr>
          <w:t>Voluntary market-based mechanism for nutrient management</w:t>
        </w:r>
      </w:hyperlink>
      <w:r>
        <w:t xml:space="preserve">’ and released the </w:t>
      </w:r>
      <w:hyperlink r:id="rId10" w:history="1">
        <w:r w:rsidRPr="00DA5874">
          <w:rPr>
            <w:rStyle w:val="Hyperlink"/>
          </w:rPr>
          <w:t>Draft Point Source Water Quality Offsets Policy</w:t>
        </w:r>
      </w:hyperlink>
      <w:r>
        <w:rPr>
          <w:rStyle w:val="Hyperlink"/>
        </w:rPr>
        <w:t>.</w:t>
      </w:r>
      <w:r w:rsidRPr="0075172C">
        <w:t xml:space="preserve"> </w:t>
      </w:r>
      <w:r>
        <w:t xml:space="preserve">Following engagement with the urban water sector the Department called for a </w:t>
      </w:r>
      <w:hyperlink r:id="rId11" w:history="1">
        <w:r w:rsidRPr="00DA5874">
          <w:rPr>
            <w:rStyle w:val="Hyperlink"/>
          </w:rPr>
          <w:t>request for submissions</w:t>
        </w:r>
      </w:hyperlink>
      <w:r>
        <w:t xml:space="preserve"> and </w:t>
      </w:r>
      <w:r w:rsidRPr="00523EC4">
        <w:rPr>
          <w:b/>
          <w:i/>
        </w:rPr>
        <w:t>qldwater</w:t>
      </w:r>
      <w:r>
        <w:t xml:space="preserve"> provided a </w:t>
      </w:r>
      <w:hyperlink r:id="rId12" w:history="1">
        <w:r w:rsidRPr="0075172C">
          <w:rPr>
            <w:rStyle w:val="Hyperlink"/>
          </w:rPr>
          <w:t>collated industry response</w:t>
        </w:r>
      </w:hyperlink>
      <w:r>
        <w:t xml:space="preserve"> in September 2017. </w:t>
      </w:r>
      <w:r w:rsidR="00892DCE">
        <w:t>The response expressed concern about gaps in the draft Policy and the need for a stronger partnership between the sector and the Department if offsets were to be a viable mechanism for improving environmental health.</w:t>
      </w:r>
    </w:p>
    <w:p w:rsidR="00892DCE" w:rsidRDefault="00892DCE" w:rsidP="00892DCE"/>
    <w:p w:rsidR="00892DCE" w:rsidRDefault="00D62A5E" w:rsidP="00892DCE">
      <w:pPr>
        <w:rPr>
          <w:rFonts w:eastAsia="Times New Roman"/>
        </w:rPr>
      </w:pPr>
      <w:r>
        <w:t>In March 2018, an updated draft Policy was released with further engagement sessions</w:t>
      </w:r>
      <w:r w:rsidR="00A518C6">
        <w:t xml:space="preserve"> for the urban water industry</w:t>
      </w:r>
      <w:r>
        <w:t>.</w:t>
      </w:r>
      <w:r w:rsidR="00E90D32">
        <w:t xml:space="preserve"> At this time</w:t>
      </w:r>
      <w:r w:rsidR="00045A54">
        <w:t>,</w:t>
      </w:r>
      <w:r w:rsidR="00E90D32">
        <w:t xml:space="preserve"> it was also announced that a Guideline was being developed independently to support the Policy.</w:t>
      </w:r>
      <w:r w:rsidR="00892DCE">
        <w:t xml:space="preserve"> </w:t>
      </w:r>
      <w:hyperlink r:id="rId13" w:history="1">
        <w:r w:rsidR="00892DCE" w:rsidRPr="00266B91">
          <w:rPr>
            <w:rStyle w:val="Hyperlink"/>
          </w:rPr>
          <w:t>A response was submitted</w:t>
        </w:r>
      </w:hyperlink>
      <w:r w:rsidR="00892DCE">
        <w:t xml:space="preserve"> c</w:t>
      </w:r>
      <w:r w:rsidR="00E11248">
        <w:t>o</w:t>
      </w:r>
      <w:r w:rsidR="00892DCE">
        <w:t xml:space="preserve">llating </w:t>
      </w:r>
      <w:r w:rsidR="00A518C6">
        <w:t xml:space="preserve">feedback from the </w:t>
      </w:r>
      <w:r w:rsidR="00E90D32">
        <w:t xml:space="preserve">engagement </w:t>
      </w:r>
      <w:r w:rsidR="00A518C6">
        <w:t>sessions and responses provided by Service Providers.</w:t>
      </w:r>
      <w:r w:rsidR="00892DCE">
        <w:t xml:space="preserve"> It expressed disappointment with the lack of </w:t>
      </w:r>
      <w:r w:rsidR="00892DCE" w:rsidRPr="009E39FF">
        <w:rPr>
          <w:rFonts w:eastAsia="Times New Roman"/>
          <w:bCs/>
        </w:rPr>
        <w:t>cooperative development and clarification of the difficult/contentious issues the mechanism entailed including case studies and mechanisms to reduce uncertainty and enable water quality offsets to be readily implemented across the State</w:t>
      </w:r>
      <w:r w:rsidR="00892DCE" w:rsidRPr="009E39FF">
        <w:rPr>
          <w:rFonts w:eastAsia="Times New Roman"/>
        </w:rPr>
        <w:t xml:space="preserve">. </w:t>
      </w:r>
      <w:r w:rsidR="00E11248">
        <w:rPr>
          <w:rFonts w:eastAsia="Times New Roman"/>
        </w:rPr>
        <w:t>A new version of the Draft Policy was released for comment on 4 July 2018 and this document collates water sector responses to this draft.</w:t>
      </w:r>
    </w:p>
    <w:p w:rsidR="00D62A5E" w:rsidRDefault="00D62A5E" w:rsidP="0075172C"/>
    <w:p w:rsidR="009E0796" w:rsidRDefault="009E0796" w:rsidP="00B72FB8"/>
    <w:p w:rsidR="007D6F85" w:rsidRPr="00DD4D29" w:rsidRDefault="00B50C32" w:rsidP="00DD4D29">
      <w:pPr>
        <w:pStyle w:val="Heading1"/>
      </w:pPr>
      <w:bookmarkStart w:id="2" w:name="_Toc511392828"/>
      <w:r>
        <w:t>Comments</w:t>
      </w:r>
      <w:bookmarkEnd w:id="2"/>
      <w:r w:rsidR="00266B91">
        <w:t xml:space="preserve"> on the latest Draft Policy document</w:t>
      </w:r>
    </w:p>
    <w:p w:rsidR="00045A54" w:rsidRDefault="00045A54" w:rsidP="00B50C32">
      <w:pPr>
        <w:rPr>
          <w:b/>
        </w:rPr>
      </w:pPr>
    </w:p>
    <w:p w:rsidR="00045A54" w:rsidRDefault="00EF6BEF" w:rsidP="00EF654C">
      <w:r w:rsidRPr="00EF6BEF">
        <w:rPr>
          <w:b/>
        </w:rPr>
        <w:t>Ratios:</w:t>
      </w:r>
      <w:r>
        <w:t xml:space="preserve"> </w:t>
      </w:r>
    </w:p>
    <w:p w:rsidR="002D6A16" w:rsidRDefault="002D6A16" w:rsidP="002D6A16">
      <w:r>
        <w:t xml:space="preserve">The explanation about expected ratios has been expanded and is much improved but the most common response from the sector was </w:t>
      </w:r>
      <w:r w:rsidR="005E1AD1">
        <w:t>“I still find delivery ratio and offset equivalency ratio confusing”. The following suggestions are provided to</w:t>
      </w:r>
      <w:r w:rsidR="00727874">
        <w:t xml:space="preserve"> help</w:t>
      </w:r>
      <w:r w:rsidR="005E1AD1">
        <w:t xml:space="preserve"> improve</w:t>
      </w:r>
      <w:r w:rsidR="00727874">
        <w:t xml:space="preserve"> </w:t>
      </w:r>
      <w:r w:rsidR="005E1AD1">
        <w:t>clarity.</w:t>
      </w:r>
    </w:p>
    <w:p w:rsidR="005E1AD1" w:rsidRDefault="005E1AD1" w:rsidP="002D6A16"/>
    <w:p w:rsidR="005E1AD1" w:rsidRDefault="002D6A16" w:rsidP="00A522AB">
      <w:pPr>
        <w:pStyle w:val="ListParagraph"/>
        <w:numPr>
          <w:ilvl w:val="0"/>
          <w:numId w:val="4"/>
        </w:numPr>
      </w:pPr>
      <w:r w:rsidRPr="002D6A16">
        <w:t>p. 11/17: “Increases in delivery or equivalency ratios from the ‘normal ratios’ will be considered only where there is no evidence and there is significant uncertainty that net improvement in water quality will be achieved in the near field or far field catchment receiving waters.”</w:t>
      </w:r>
      <w:r w:rsidR="005E1AD1">
        <w:t xml:space="preserve"> This sentence is somewhat convoluted </w:t>
      </w:r>
      <w:r w:rsidR="00E11248">
        <w:t>an alternative could be</w:t>
      </w:r>
      <w:r w:rsidR="005E1AD1">
        <w:t>: “</w:t>
      </w:r>
      <w:r w:rsidR="005C43D1">
        <w:t>The</w:t>
      </w:r>
      <w:r w:rsidR="005E1AD1">
        <w:t xml:space="preserve"> default </w:t>
      </w:r>
      <w:r w:rsidR="00D15801">
        <w:t xml:space="preserve">environmental equivalence </w:t>
      </w:r>
      <w:r w:rsidR="005E1AD1">
        <w:t xml:space="preserve">ratio </w:t>
      </w:r>
      <w:r w:rsidR="00D15801">
        <w:t>(</w:t>
      </w:r>
      <w:r w:rsidR="005E1AD1">
        <w:t>1.5:1</w:t>
      </w:r>
      <w:r w:rsidR="00D15801">
        <w:t>)</w:t>
      </w:r>
      <w:r w:rsidR="005E1AD1">
        <w:t xml:space="preserve"> will be </w:t>
      </w:r>
      <w:r w:rsidR="00D15801">
        <w:t>increased</w:t>
      </w:r>
      <w:r w:rsidR="005E1AD1">
        <w:t xml:space="preserve"> only </w:t>
      </w:r>
      <w:r w:rsidR="00D15801">
        <w:t xml:space="preserve">when </w:t>
      </w:r>
      <w:r w:rsidR="005E1AD1" w:rsidRPr="002D6A16">
        <w:t>there</w:t>
      </w:r>
      <w:r w:rsidR="00D15801">
        <w:t xml:space="preserve"> is</w:t>
      </w:r>
      <w:r w:rsidR="005E1AD1" w:rsidRPr="002D6A16">
        <w:t xml:space="preserve"> </w:t>
      </w:r>
      <w:r w:rsidR="005E1AD1">
        <w:t>significant uncertainty</w:t>
      </w:r>
      <w:r w:rsidR="005C43D1">
        <w:t>/</w:t>
      </w:r>
      <w:r w:rsidR="005E1AD1">
        <w:t>lack of evidence about</w:t>
      </w:r>
      <w:r w:rsidR="00D15801">
        <w:t xml:space="preserve"> projected</w:t>
      </w:r>
      <w:r w:rsidR="005E1AD1">
        <w:t xml:space="preserve"> </w:t>
      </w:r>
      <w:r w:rsidR="005E1AD1" w:rsidRPr="002D6A16">
        <w:t>water quality</w:t>
      </w:r>
      <w:r w:rsidR="005C43D1">
        <w:t xml:space="preserve"> improvements</w:t>
      </w:r>
      <w:r w:rsidR="005E1AD1">
        <w:t xml:space="preserve"> </w:t>
      </w:r>
      <w:r w:rsidR="00D15801">
        <w:t>i</w:t>
      </w:r>
      <w:r w:rsidR="005E1AD1">
        <w:t xml:space="preserve">n the receiving environment </w:t>
      </w:r>
      <w:r w:rsidR="005C43D1">
        <w:t xml:space="preserve">(either </w:t>
      </w:r>
      <w:r w:rsidR="005E1AD1">
        <w:t>near the discharge or in the downstream catchment</w:t>
      </w:r>
      <w:r w:rsidR="005C43D1">
        <w:t>).</w:t>
      </w:r>
      <w:r w:rsidR="005E1AD1">
        <w:t xml:space="preserve">” </w:t>
      </w:r>
    </w:p>
    <w:p w:rsidR="005E1AD1" w:rsidRDefault="005E1AD1" w:rsidP="005E1AD1"/>
    <w:p w:rsidR="00D15801" w:rsidRDefault="00D15801" w:rsidP="00A522AB">
      <w:pPr>
        <w:pStyle w:val="ListParagraph"/>
        <w:numPr>
          <w:ilvl w:val="0"/>
          <w:numId w:val="4"/>
        </w:numPr>
      </w:pPr>
      <w:r>
        <w:t>p</w:t>
      </w:r>
      <w:r w:rsidR="00A32A03">
        <w:t xml:space="preserve">. </w:t>
      </w:r>
      <w:r>
        <w:t>12/17 - Bubble licenses –</w:t>
      </w:r>
      <w:r w:rsidR="00343087">
        <w:t xml:space="preserve"> although the ratio may also be raised for bubble licenses </w:t>
      </w:r>
      <w:r w:rsidR="00E11248">
        <w:t>(</w:t>
      </w:r>
      <w:r w:rsidR="00343087">
        <w:t>in the case of significant uncertainty</w:t>
      </w:r>
      <w:r w:rsidR="00E11248">
        <w:t>)</w:t>
      </w:r>
      <w:r>
        <w:t xml:space="preserve"> the underlined text </w:t>
      </w:r>
      <w:r w:rsidR="00E11248">
        <w:t>on this page</w:t>
      </w:r>
      <w:r w:rsidR="00343087">
        <w:t xml:space="preserve"> </w:t>
      </w:r>
      <w:r>
        <w:t>is interpreted to mean that</w:t>
      </w:r>
      <w:r w:rsidR="00343087">
        <w:t>:</w:t>
      </w:r>
      <w:r>
        <w:t xml:space="preserve"> under strict conditions, the default environmental equivalency ratio may be reduced (though never to a 1:1 ratio).</w:t>
      </w:r>
      <w:r w:rsidR="00343087">
        <w:t xml:space="preserve"> </w:t>
      </w:r>
      <w:r w:rsidR="00E11248">
        <w:t xml:space="preserve">This reduction is strongly supported </w:t>
      </w:r>
      <w:r>
        <w:t>given the potential equivalency of similar discharge types considered in</w:t>
      </w:r>
      <w:r w:rsidR="005C43D1">
        <w:t xml:space="preserve"> STP</w:t>
      </w:r>
      <w:r>
        <w:t xml:space="preserve"> bubble licenses</w:t>
      </w:r>
      <w:r w:rsidR="00E11248">
        <w:t xml:space="preserve"> and the need for scientific evidence</w:t>
      </w:r>
      <w:r>
        <w:t>.</w:t>
      </w:r>
    </w:p>
    <w:p w:rsidR="00D15801" w:rsidRDefault="00D15801" w:rsidP="005E1AD1"/>
    <w:p w:rsidR="003344D7" w:rsidRDefault="00A32A03" w:rsidP="00A522AB">
      <w:pPr>
        <w:pStyle w:val="ListParagraph"/>
        <w:numPr>
          <w:ilvl w:val="0"/>
          <w:numId w:val="4"/>
        </w:numPr>
      </w:pPr>
      <w:r>
        <w:t xml:space="preserve">p. 12/17 </w:t>
      </w:r>
      <w:r w:rsidR="00E11248">
        <w:t>- t</w:t>
      </w:r>
      <w:r w:rsidR="00D15801">
        <w:t>he</w:t>
      </w:r>
      <w:r w:rsidR="00D15801" w:rsidRPr="00A936BF">
        <w:t xml:space="preserve"> example given for bubble licences of 2 STPs </w:t>
      </w:r>
      <w:r w:rsidR="00D15801">
        <w:t xml:space="preserve">each discharging </w:t>
      </w:r>
      <w:r w:rsidR="00D15801" w:rsidRPr="00A936BF">
        <w:t>20</w:t>
      </w:r>
      <w:r w:rsidR="00D15801">
        <w:t xml:space="preserve"> t/annum is a combined bubble license of 3</w:t>
      </w:r>
      <w:r w:rsidR="00D15801" w:rsidRPr="00A936BF">
        <w:t xml:space="preserve">0 </w:t>
      </w:r>
      <w:r w:rsidR="00D15801">
        <w:t xml:space="preserve">t/annum. </w:t>
      </w:r>
      <w:r w:rsidR="00343087">
        <w:t>T</w:t>
      </w:r>
      <w:r w:rsidR="00D15801" w:rsidRPr="00A936BF">
        <w:t xml:space="preserve">he Policy states a “bubble condition” combines the individual load limits of point source entities into a single </w:t>
      </w:r>
      <w:r w:rsidR="00D15801" w:rsidRPr="00A936BF">
        <w:lastRenderedPageBreak/>
        <w:t>load limit that is less than the sum of the individual load limits” (Policy Section 7.3.1 p</w:t>
      </w:r>
      <w:r w:rsidR="00343087">
        <w:t xml:space="preserve">. </w:t>
      </w:r>
      <w:r w:rsidR="00D15801" w:rsidRPr="00A936BF">
        <w:t>9</w:t>
      </w:r>
      <w:r w:rsidR="00343087">
        <w:t xml:space="preserve">). </w:t>
      </w:r>
      <w:r w:rsidR="00E11248">
        <w:t>It is not clear how the total load has been calculated using the offset ratio(s). Also, c</w:t>
      </w:r>
      <w:r w:rsidR="00343087">
        <w:t>an a</w:t>
      </w:r>
      <w:r w:rsidR="00E11248">
        <w:t xml:space="preserve"> further </w:t>
      </w:r>
      <w:r w:rsidR="00343087">
        <w:t xml:space="preserve">example be provided where </w:t>
      </w:r>
      <w:r w:rsidR="00343087" w:rsidRPr="00A936BF">
        <w:t xml:space="preserve">two STPs </w:t>
      </w:r>
      <w:r w:rsidR="00343087">
        <w:t xml:space="preserve">have </w:t>
      </w:r>
      <w:r w:rsidR="00343087" w:rsidRPr="00A936BF">
        <w:t>disparate discharge</w:t>
      </w:r>
      <w:r w:rsidR="00343087">
        <w:t>s (</w:t>
      </w:r>
      <w:r w:rsidR="00343087" w:rsidRPr="00A936BF">
        <w:t xml:space="preserve">e.g. </w:t>
      </w:r>
      <w:r w:rsidR="00343087">
        <w:t>30 and 10 t/annum)</w:t>
      </w:r>
      <w:r>
        <w:t>?</w:t>
      </w:r>
    </w:p>
    <w:p w:rsidR="003344D7" w:rsidRDefault="003344D7" w:rsidP="003344D7">
      <w:pPr>
        <w:pStyle w:val="ListParagraph"/>
      </w:pPr>
    </w:p>
    <w:p w:rsidR="00F22C4C" w:rsidRDefault="003344D7" w:rsidP="00A522AB">
      <w:pPr>
        <w:pStyle w:val="ListParagraph"/>
        <w:numPr>
          <w:ilvl w:val="0"/>
          <w:numId w:val="4"/>
        </w:numPr>
      </w:pPr>
      <w:r>
        <w:t xml:space="preserve">s. </w:t>
      </w:r>
      <w:r w:rsidR="00B63931">
        <w:t>5 –</w:t>
      </w:r>
      <w:r>
        <w:t xml:space="preserve"> The </w:t>
      </w:r>
      <w:r w:rsidR="00B63931">
        <w:t xml:space="preserve">definitions </w:t>
      </w:r>
      <w:r>
        <w:t xml:space="preserve">of the delivery ratio and offset equivalency ratio overlap markedly (e.g. </w:t>
      </w:r>
      <w:r w:rsidR="00B63931">
        <w:t xml:space="preserve">both </w:t>
      </w:r>
      <w:r>
        <w:t xml:space="preserve">include </w:t>
      </w:r>
      <w:r w:rsidR="00B63931">
        <w:t xml:space="preserve">“uncertainty” and </w:t>
      </w:r>
      <w:r>
        <w:t>“</w:t>
      </w:r>
      <w:r w:rsidR="00B63931">
        <w:t xml:space="preserve">attenuation” </w:t>
      </w:r>
      <w:r>
        <w:t xml:space="preserve">factors). </w:t>
      </w:r>
      <w:r w:rsidR="00E11248">
        <w:t xml:space="preserve">Moreover, the </w:t>
      </w:r>
      <w:r>
        <w:t xml:space="preserve">equivalence ratio does not really reflect the definition provided for ‘environmental equivalence”. </w:t>
      </w:r>
      <w:r w:rsidR="00E11248">
        <w:t>Further, s</w:t>
      </w:r>
      <w:r w:rsidR="00F22C4C">
        <w:t xml:space="preserve">ection 7.3.2 indicates “in-stream processing” is part of the equivalency ratio, but this factor would surely be considered already in the ‘delivery ratio’? </w:t>
      </w:r>
    </w:p>
    <w:p w:rsidR="00F22C4C" w:rsidRDefault="00F22C4C" w:rsidP="00F22C4C">
      <w:pPr>
        <w:pStyle w:val="ListParagraph"/>
      </w:pPr>
    </w:p>
    <w:p w:rsidR="00433345" w:rsidRDefault="003344D7" w:rsidP="00F22C4C">
      <w:pPr>
        <w:pStyle w:val="ListParagraph"/>
      </w:pPr>
      <w:r>
        <w:t>It would be better to have only a single ratio</w:t>
      </w:r>
      <w:r w:rsidR="00E11248">
        <w:t>. I</w:t>
      </w:r>
      <w:r>
        <w:t>f this is not possible</w:t>
      </w:r>
      <w:r w:rsidR="00727874">
        <w:t>,</w:t>
      </w:r>
      <w:r>
        <w:t xml:space="preserve"> the definition for the equivalency ratio </w:t>
      </w:r>
      <w:r w:rsidR="00727874">
        <w:t xml:space="preserve">should be </w:t>
      </w:r>
      <w:r>
        <w:t>changed</w:t>
      </w:r>
      <w:r w:rsidR="00727874">
        <w:t>, perhaps</w:t>
      </w:r>
      <w:r>
        <w:t xml:space="preserve"> to</w:t>
      </w:r>
      <w:r w:rsidR="00727874">
        <w:t>:</w:t>
      </w:r>
      <w:r>
        <w:t xml:space="preserve"> “Provides a precautionary factor to account for environmental equivalence (e.g. chemical form, temporal factors) with a default value of </w:t>
      </w:r>
      <w:r w:rsidR="00433345">
        <w:t>???</w:t>
      </w:r>
      <w:r w:rsidR="00DF215F">
        <w:t>”</w:t>
      </w:r>
      <w:r w:rsidR="00727874">
        <w:t>.</w:t>
      </w:r>
      <w:r w:rsidR="00CB4D15">
        <w:t xml:space="preserve"> </w:t>
      </w:r>
    </w:p>
    <w:p w:rsidR="00433345" w:rsidRDefault="00433345" w:rsidP="00433345">
      <w:pPr>
        <w:pStyle w:val="ListParagraph"/>
      </w:pPr>
    </w:p>
    <w:p w:rsidR="00E11248" w:rsidRDefault="00DF215F" w:rsidP="00A522AB">
      <w:pPr>
        <w:pStyle w:val="ListParagraph"/>
        <w:numPr>
          <w:ilvl w:val="0"/>
          <w:numId w:val="4"/>
        </w:numPr>
      </w:pPr>
      <w:r>
        <w:t xml:space="preserve">It is not clear how </w:t>
      </w:r>
      <w:r w:rsidR="00727874">
        <w:t xml:space="preserve">the </w:t>
      </w:r>
      <w:r>
        <w:t>t</w:t>
      </w:r>
      <w:r w:rsidR="00E11248">
        <w:t xml:space="preserve">wo ratios </w:t>
      </w:r>
      <w:r>
        <w:t xml:space="preserve">will be applied (e.g. which will be multiplied first or </w:t>
      </w:r>
      <w:r w:rsidR="00727874">
        <w:t>w</w:t>
      </w:r>
      <w:r>
        <w:t>ill they be combined</w:t>
      </w:r>
      <w:r w:rsidR="00727874">
        <w:t xml:space="preserve"> in some other way?</w:t>
      </w:r>
      <w:r>
        <w:t xml:space="preserve">). </w:t>
      </w:r>
      <w:r w:rsidR="00433345">
        <w:t xml:space="preserve">This is not discussed in the text but the first diagram indicates they will be added and multiplied twice! </w:t>
      </w:r>
      <w:r w:rsidR="00727874">
        <w:t>I</w:t>
      </w:r>
      <w:r w:rsidR="00433345">
        <w:t>n Figure 2, an equivalence ratio is not applied or is assumed to be x1</w:t>
      </w:r>
      <w:r w:rsidR="00727874">
        <w:t xml:space="preserve"> which contrasts to the x1.1 indicated elsewhere in the text.</w:t>
      </w:r>
    </w:p>
    <w:p w:rsidR="00E11248" w:rsidRDefault="00E11248" w:rsidP="00E11248">
      <w:pPr>
        <w:pStyle w:val="ListParagraph"/>
      </w:pPr>
    </w:p>
    <w:p w:rsidR="00B63931" w:rsidRDefault="00433345" w:rsidP="00E11248">
      <w:pPr>
        <w:pStyle w:val="ListParagraph"/>
      </w:pPr>
      <w:r>
        <w:t xml:space="preserve">Presumably the intent is to have a </w:t>
      </w:r>
      <w:r w:rsidR="00DF215F">
        <w:t>‘</w:t>
      </w:r>
      <w:r>
        <w:t>default</w:t>
      </w:r>
      <w:r w:rsidR="00DF215F">
        <w:t>’</w:t>
      </w:r>
      <w:r>
        <w:t xml:space="preserve"> ratio of </w:t>
      </w:r>
      <w:r w:rsidR="00DF215F">
        <w:t>x</w:t>
      </w:r>
      <w:r>
        <w:t xml:space="preserve">1.5 and </w:t>
      </w:r>
      <w:r w:rsidR="00DF215F">
        <w:t xml:space="preserve">then </w:t>
      </w:r>
      <w:r>
        <w:t xml:space="preserve">add 0.1 for </w:t>
      </w:r>
      <w:r w:rsidR="00DF215F">
        <w:t xml:space="preserve">each level of </w:t>
      </w:r>
      <w:r>
        <w:t>increase deemed necessary to reflect environmental equivalence? If so</w:t>
      </w:r>
      <w:r w:rsidR="00DF215F">
        <w:t>,</w:t>
      </w:r>
      <w:r>
        <w:t xml:space="preserve"> the</w:t>
      </w:r>
      <w:r w:rsidR="00E11248">
        <w:t xml:space="preserve"> Water Sector’s</w:t>
      </w:r>
      <w:r>
        <w:t xml:space="preserve"> suggestion to remove one of the ratios </w:t>
      </w:r>
      <w:r w:rsidR="00DF215F">
        <w:t>(</w:t>
      </w:r>
      <w:r>
        <w:t xml:space="preserve">and </w:t>
      </w:r>
      <w:r w:rsidR="00DF215F">
        <w:t xml:space="preserve">instead include all </w:t>
      </w:r>
      <w:r>
        <w:t xml:space="preserve">factors to </w:t>
      </w:r>
      <w:r w:rsidR="00DF215F">
        <w:t xml:space="preserve">within </w:t>
      </w:r>
      <w:r>
        <w:t>a single ratio</w:t>
      </w:r>
      <w:r w:rsidR="00E11248">
        <w:t>)</w:t>
      </w:r>
      <w:r>
        <w:t xml:space="preserve"> would be</w:t>
      </w:r>
      <w:r w:rsidR="00E11248">
        <w:t xml:space="preserve"> clearer and</w:t>
      </w:r>
      <w:r>
        <w:t xml:space="preserve"> </w:t>
      </w:r>
      <w:r w:rsidR="00DF215F">
        <w:t>more workable</w:t>
      </w:r>
      <w:r>
        <w:t>.</w:t>
      </w:r>
      <w:r w:rsidR="00F22C4C">
        <w:t xml:space="preserve"> If this is not possible the </w:t>
      </w:r>
      <w:r w:rsidR="00727874">
        <w:t xml:space="preserve">way the </w:t>
      </w:r>
      <w:r w:rsidR="00F22C4C">
        <w:t xml:space="preserve">two ratios </w:t>
      </w:r>
      <w:r w:rsidR="00727874">
        <w:t xml:space="preserve">will be applied </w:t>
      </w:r>
      <w:r w:rsidR="00F22C4C">
        <w:t>needs clarification.</w:t>
      </w:r>
    </w:p>
    <w:p w:rsidR="0097389D" w:rsidRDefault="0097389D" w:rsidP="00EF654C"/>
    <w:p w:rsidR="002D6A16" w:rsidRDefault="002D6A16" w:rsidP="00EF654C"/>
    <w:p w:rsidR="00045A54" w:rsidRDefault="00573E9B" w:rsidP="00EF654C">
      <w:r w:rsidRPr="00547D03">
        <w:rPr>
          <w:b/>
        </w:rPr>
        <w:t>Wet vs Dry Weather</w:t>
      </w:r>
      <w:r w:rsidR="0034514A">
        <w:rPr>
          <w:b/>
        </w:rPr>
        <w:t xml:space="preserve">. </w:t>
      </w:r>
      <w:r>
        <w:t xml:space="preserve"> </w:t>
      </w:r>
    </w:p>
    <w:p w:rsidR="00573E9B" w:rsidRDefault="00852322" w:rsidP="00EF654C">
      <w:r>
        <w:t xml:space="preserve">Section 7.4 </w:t>
      </w:r>
      <w:r w:rsidR="0034514A">
        <w:t>The concept of wet versus dry weather days is</w:t>
      </w:r>
      <w:r>
        <w:t xml:space="preserve"> not entirely workable</w:t>
      </w:r>
      <w:r>
        <w:rPr>
          <w:rStyle w:val="FootnoteReference"/>
        </w:rPr>
        <w:footnoteReference w:id="1"/>
      </w:r>
      <w:r>
        <w:t xml:space="preserve"> </w:t>
      </w:r>
      <w:r w:rsidR="0034514A">
        <w:t>and limits the available offset options significantly. The policy seek</w:t>
      </w:r>
      <w:r>
        <w:t>s</w:t>
      </w:r>
      <w:r w:rsidR="0034514A">
        <w:t xml:space="preserve"> to balance daily loads rather than annual loads</w:t>
      </w:r>
      <w:r>
        <w:t xml:space="preserve"> which is sensible for toxicants but contradicts the aim </w:t>
      </w:r>
      <w:r w:rsidR="00727874">
        <w:t xml:space="preserve">load-based licensing </w:t>
      </w:r>
      <w:r>
        <w:t xml:space="preserve">for </w:t>
      </w:r>
      <w:r w:rsidR="0034514A">
        <w:t xml:space="preserve">nutrients </w:t>
      </w:r>
      <w:r>
        <w:t>and sediments. I</w:t>
      </w:r>
      <w:r w:rsidR="00DA7458">
        <w:t xml:space="preserve">t </w:t>
      </w:r>
      <w:r w:rsidR="00045A54">
        <w:t>does</w:t>
      </w:r>
      <w:r w:rsidR="00DA7458">
        <w:t xml:space="preserve"> not automatically follow that chronic daily loads cause more harm than large (but less frequent) wet weather loads</w:t>
      </w:r>
      <w:r w:rsidR="00727874">
        <w:t xml:space="preserve"> and total loads provide a more useful indicator of net impact (and e.g. progress towards reef and WQIP targets)</w:t>
      </w:r>
      <w:r w:rsidR="00DA7458">
        <w:t xml:space="preserve">. </w:t>
      </w:r>
      <w:r w:rsidR="00573E9B" w:rsidRPr="00852322">
        <w:t>The needs</w:t>
      </w:r>
      <w:r w:rsidR="009E0796" w:rsidRPr="00852322">
        <w:t xml:space="preserve"> and capacity</w:t>
      </w:r>
      <w:r w:rsidR="00573E9B" w:rsidRPr="00852322">
        <w:t xml:space="preserve"> of </w:t>
      </w:r>
      <w:r w:rsidR="00DA7458" w:rsidRPr="00852322">
        <w:t xml:space="preserve">the </w:t>
      </w:r>
      <w:r w:rsidR="009E0796" w:rsidRPr="00852322">
        <w:t>receiving environment</w:t>
      </w:r>
      <w:r>
        <w:t xml:space="preserve"> </w:t>
      </w:r>
      <w:r w:rsidR="00DA7458" w:rsidRPr="00852322">
        <w:t xml:space="preserve">and </w:t>
      </w:r>
      <w:r w:rsidR="00573E9B" w:rsidRPr="00852322">
        <w:t xml:space="preserve">risks </w:t>
      </w:r>
      <w:r>
        <w:t xml:space="preserve">of </w:t>
      </w:r>
      <w:r w:rsidR="00573E9B" w:rsidRPr="00852322">
        <w:t>environmental</w:t>
      </w:r>
      <w:r w:rsidR="00DA7458" w:rsidRPr="00852322">
        <w:t xml:space="preserve"> </w:t>
      </w:r>
      <w:r>
        <w:t>harm would provide a sounder foundation</w:t>
      </w:r>
      <w:r w:rsidR="00727874">
        <w:t xml:space="preserve"> for this determination</w:t>
      </w:r>
      <w:r>
        <w:t xml:space="preserve"> than the adopted</w:t>
      </w:r>
      <w:r w:rsidR="00573E9B" w:rsidRPr="00852322">
        <w:t xml:space="preserve"> ‘like-for-like’ principle</w:t>
      </w:r>
      <w:r>
        <w:t xml:space="preserve"> </w:t>
      </w:r>
      <w:r>
        <w:lastRenderedPageBreak/>
        <w:t>indicated by the wet-dry weather requirement</w:t>
      </w:r>
      <w:r w:rsidR="00573E9B" w:rsidRPr="00852322">
        <w:t>.</w:t>
      </w:r>
      <w:r w:rsidR="00573E9B">
        <w:t xml:space="preserve"> </w:t>
      </w:r>
      <w:r w:rsidR="00276A75">
        <w:t>This need could be recognised by</w:t>
      </w:r>
      <w:r w:rsidR="009F730A">
        <w:t xml:space="preserve"> amending the relevant section of the Policy to read:</w:t>
      </w:r>
    </w:p>
    <w:p w:rsidR="009F730A" w:rsidRDefault="009F730A" w:rsidP="009F730A">
      <w:pPr>
        <w:ind w:left="270" w:right="476"/>
        <w:jc w:val="both"/>
        <w:rPr>
          <w:rFonts w:ascii="Arial" w:hAnsi="Arial" w:cs="Arial"/>
          <w:sz w:val="20"/>
          <w:szCs w:val="20"/>
        </w:rPr>
      </w:pPr>
    </w:p>
    <w:p w:rsidR="009F730A" w:rsidRPr="009F730A" w:rsidRDefault="009F730A" w:rsidP="009F730A">
      <w:pPr>
        <w:ind w:left="270" w:right="476"/>
        <w:jc w:val="both"/>
        <w:rPr>
          <w:rFonts w:ascii="Arial" w:hAnsi="Arial" w:cs="Arial"/>
          <w:sz w:val="20"/>
          <w:szCs w:val="20"/>
        </w:rPr>
      </w:pPr>
      <w:r>
        <w:rPr>
          <w:rFonts w:ascii="Arial" w:hAnsi="Arial" w:cs="Arial"/>
          <w:sz w:val="20"/>
          <w:szCs w:val="20"/>
        </w:rPr>
        <w:t xml:space="preserve">“Offsets proposed for discharge to waters on defined dry weather days, </w:t>
      </w:r>
      <w:r w:rsidRPr="00852322">
        <w:rPr>
          <w:rFonts w:ascii="Arial" w:hAnsi="Arial" w:cs="Arial"/>
          <w:sz w:val="20"/>
          <w:szCs w:val="20"/>
        </w:rPr>
        <w:t>should preferably counterbalance point source discharge on dry weather days however discharge to waters on defined dry weather days may be counterbalanced by offsets assoc</w:t>
      </w:r>
      <w:r w:rsidR="00852322" w:rsidRPr="00852322">
        <w:rPr>
          <w:rFonts w:ascii="Arial" w:hAnsi="Arial" w:cs="Arial"/>
          <w:sz w:val="20"/>
          <w:szCs w:val="20"/>
        </w:rPr>
        <w:t>i</w:t>
      </w:r>
      <w:r w:rsidRPr="00852322">
        <w:rPr>
          <w:rFonts w:ascii="Arial" w:hAnsi="Arial" w:cs="Arial"/>
          <w:sz w:val="20"/>
          <w:szCs w:val="20"/>
        </w:rPr>
        <w:t>ated with wet weather events where significant ecological benefits can be achieved.”</w:t>
      </w:r>
    </w:p>
    <w:p w:rsidR="00B63931" w:rsidRDefault="00B63931" w:rsidP="00B63931">
      <w:r>
        <w:t xml:space="preserve"> </w:t>
      </w:r>
    </w:p>
    <w:p w:rsidR="00045A54" w:rsidRDefault="00045A54" w:rsidP="00E216A1">
      <w:pPr>
        <w:rPr>
          <w:b/>
        </w:rPr>
      </w:pPr>
    </w:p>
    <w:p w:rsidR="0097389D" w:rsidRPr="0097389D" w:rsidRDefault="00045EEA" w:rsidP="0097389D">
      <w:pPr>
        <w:rPr>
          <w:b/>
        </w:rPr>
      </w:pPr>
      <w:r>
        <w:rPr>
          <w:b/>
        </w:rPr>
        <w:t>Other Comments</w:t>
      </w:r>
    </w:p>
    <w:p w:rsidR="00573E9B" w:rsidRDefault="002D6A16" w:rsidP="00E216A1">
      <w:r w:rsidRPr="002D6A16">
        <w:t>p. 10/17: “The policy does not allow for water quality offsets in the form of a direct financial contribution to an entity”</w:t>
      </w:r>
      <w:r w:rsidR="00852322">
        <w:t xml:space="preserve"> </w:t>
      </w:r>
      <w:r w:rsidR="0097389D" w:rsidRPr="0097389D">
        <w:t>essentially rul</w:t>
      </w:r>
      <w:r w:rsidR="00852322">
        <w:t>ing</w:t>
      </w:r>
      <w:r w:rsidR="0097389D" w:rsidRPr="0097389D">
        <w:t xml:space="preserve"> out opportunities for offsets to be managed by third party or </w:t>
      </w:r>
      <w:r w:rsidR="00727874">
        <w:t xml:space="preserve">for </w:t>
      </w:r>
      <w:r w:rsidR="0097389D" w:rsidRPr="0097389D">
        <w:t>offset trading.</w:t>
      </w:r>
      <w:r w:rsidR="00852322">
        <w:t xml:space="preserve"> This </w:t>
      </w:r>
      <w:r w:rsidR="00727874">
        <w:t xml:space="preserve">position </w:t>
      </w:r>
      <w:r w:rsidR="00852322">
        <w:t>is not supported by the sector and at</w:t>
      </w:r>
      <w:r w:rsidR="00727874">
        <w:t xml:space="preserve"> the</w:t>
      </w:r>
      <w:r w:rsidR="00852322">
        <w:t xml:space="preserve"> very least</w:t>
      </w:r>
      <w:r w:rsidR="00727874">
        <w:t>,</w:t>
      </w:r>
      <w:r w:rsidR="00852322">
        <w:t xml:space="preserve"> the </w:t>
      </w:r>
      <w:r w:rsidR="00045EEA">
        <w:t xml:space="preserve">ability </w:t>
      </w:r>
      <w:r w:rsidR="00852322">
        <w:t>to fund external agents (such as local NRM bodies) to assist with offset</w:t>
      </w:r>
      <w:r w:rsidR="00045EEA">
        <w:t xml:space="preserve"> activities should be clarified in the Policy.</w:t>
      </w:r>
    </w:p>
    <w:p w:rsidR="00276A75" w:rsidRDefault="00276A75" w:rsidP="00E216A1"/>
    <w:p w:rsidR="00E508A4" w:rsidRDefault="002172CB" w:rsidP="00E508A4">
      <w:r>
        <w:t>s. 4</w:t>
      </w:r>
      <w:r w:rsidR="00C00B8A">
        <w:t xml:space="preserve"> and </w:t>
      </w:r>
      <w:r w:rsidR="00B63931">
        <w:t>s 7.3.2</w:t>
      </w:r>
      <w:r>
        <w:t xml:space="preserve">. The reference to dissolved inorganic nitrogen </w:t>
      </w:r>
      <w:r w:rsidR="00B63931">
        <w:t xml:space="preserve">(DIN) </w:t>
      </w:r>
      <w:r>
        <w:t xml:space="preserve">is confusing. </w:t>
      </w:r>
      <w:r w:rsidR="00B63931">
        <w:t xml:space="preserve">It would be simpler for the Policy to retain TN as the </w:t>
      </w:r>
      <w:r w:rsidR="00045EEA">
        <w:t xml:space="preserve">‘nutrient </w:t>
      </w:r>
      <w:r w:rsidR="00B63931">
        <w:t>currency</w:t>
      </w:r>
      <w:r w:rsidR="00045EEA">
        <w:t>’</w:t>
      </w:r>
      <w:r w:rsidR="00B63931">
        <w:t xml:space="preserve"> to avoid confusion</w:t>
      </w:r>
      <w:r w:rsidR="00045EEA">
        <w:t xml:space="preserve"> (see e.g. comments on </w:t>
      </w:r>
      <w:r w:rsidR="00727874">
        <w:t xml:space="preserve">confusion generated by this topic in </w:t>
      </w:r>
      <w:r w:rsidR="00045EEA">
        <w:t>the</w:t>
      </w:r>
      <w:r w:rsidR="00727874">
        <w:t xml:space="preserve"> Draft</w:t>
      </w:r>
      <w:r w:rsidR="00045EEA">
        <w:t xml:space="preserve"> Guideline</w:t>
      </w:r>
      <w:r w:rsidR="00727874">
        <w:t>,</w:t>
      </w:r>
      <w:r w:rsidR="00045EEA">
        <w:t xml:space="preserve"> below)</w:t>
      </w:r>
      <w:r w:rsidR="00B63931">
        <w:t>.</w:t>
      </w:r>
    </w:p>
    <w:p w:rsidR="00B63931" w:rsidRDefault="00B63931" w:rsidP="00E508A4"/>
    <w:p w:rsidR="002D6A16" w:rsidRDefault="002D6A16" w:rsidP="00E508A4">
      <w:r>
        <w:t>p.</w:t>
      </w:r>
      <w:r w:rsidR="00F22C4C">
        <w:t xml:space="preserve"> </w:t>
      </w:r>
      <w:r>
        <w:t>13/17</w:t>
      </w:r>
      <w:r w:rsidR="00F22C4C">
        <w:t xml:space="preserve"> indicates that prescribed contaminants include ammonia, BOD and ‘heavy</w:t>
      </w:r>
      <w:r w:rsidR="00F45C4D">
        <w:t>’</w:t>
      </w:r>
      <w:r w:rsidR="00F22C4C">
        <w:t xml:space="preserve"> metals but these are not specifically listed in Schedule 9 of the Environmental Protection Regulation 2008. If they are intended to be addition to th</w:t>
      </w:r>
      <w:r w:rsidR="00727874">
        <w:t xml:space="preserve">is list </w:t>
      </w:r>
      <w:r w:rsidR="00F22C4C">
        <w:t>(or perhaps to clarify the list of ‘chemical toxicants’ under ANZECC guidelines)</w:t>
      </w:r>
      <w:r w:rsidR="00F45C4D">
        <w:t xml:space="preserve">, then the text </w:t>
      </w:r>
      <w:r w:rsidR="00045EEA">
        <w:t>sh</w:t>
      </w:r>
      <w:r w:rsidR="00F45C4D">
        <w:t xml:space="preserve">ould be </w:t>
      </w:r>
      <w:r w:rsidR="00727874">
        <w:t>amended</w:t>
      </w:r>
      <w:r w:rsidR="00F45C4D">
        <w:t xml:space="preserve">. </w:t>
      </w:r>
      <w:r w:rsidR="00045EEA">
        <w:t xml:space="preserve">A suggestion is: </w:t>
      </w:r>
      <w:r w:rsidR="00C00B8A">
        <w:t xml:space="preserve">“All </w:t>
      </w:r>
      <w:r w:rsidR="00F45C4D">
        <w:t xml:space="preserve">offsets should </w:t>
      </w:r>
      <w:r w:rsidR="00C00B8A">
        <w:t xml:space="preserve">account for </w:t>
      </w:r>
      <w:r w:rsidR="00F45C4D">
        <w:t xml:space="preserve">release of </w:t>
      </w:r>
      <w:r w:rsidR="00045EEA">
        <w:t xml:space="preserve">Prescribed Contaminants and </w:t>
      </w:r>
      <w:r w:rsidR="00C00B8A">
        <w:t xml:space="preserve">any </w:t>
      </w:r>
      <w:r w:rsidR="00F45C4D">
        <w:t xml:space="preserve">toxicants </w:t>
      </w:r>
      <w:r w:rsidR="00C00B8A">
        <w:t xml:space="preserve">(including BOD, ammonia and </w:t>
      </w:r>
      <w:r w:rsidR="00727874">
        <w:t>relevant element</w:t>
      </w:r>
      <w:r w:rsidR="00C00B8A">
        <w:t xml:space="preserve">s) that may cause environmental harm at increased concentrations (because of </w:t>
      </w:r>
      <w:r w:rsidR="00045EEA">
        <w:t>accumulation or a</w:t>
      </w:r>
      <w:r w:rsidR="00C00B8A">
        <w:t xml:space="preserve"> dose-response relationship).” </w:t>
      </w:r>
    </w:p>
    <w:p w:rsidR="00A936BF" w:rsidRDefault="00A936BF" w:rsidP="00E508A4"/>
    <w:p w:rsidR="00266B91" w:rsidRDefault="00266B91" w:rsidP="00E508A4"/>
    <w:p w:rsidR="00E508A4" w:rsidRPr="0097389D" w:rsidRDefault="00266B91" w:rsidP="00266B91">
      <w:pPr>
        <w:pStyle w:val="Heading1"/>
      </w:pPr>
      <w:r>
        <w:t xml:space="preserve">Comments on the Draft Point Source Offsets </w:t>
      </w:r>
      <w:r w:rsidR="00E508A4" w:rsidRPr="0097389D">
        <w:t>Guideline</w:t>
      </w:r>
    </w:p>
    <w:p w:rsidR="002E4B3D" w:rsidRDefault="00B63931" w:rsidP="00E508A4">
      <w:r>
        <w:t>The guideline would benefit greatly from a</w:t>
      </w:r>
      <w:r w:rsidR="00045EEA">
        <w:t xml:space="preserve"> professional e</w:t>
      </w:r>
      <w:r>
        <w:t>dit</w:t>
      </w:r>
      <w:r w:rsidR="00045EEA">
        <w:t xml:space="preserve"> to improve </w:t>
      </w:r>
      <w:r w:rsidR="002D6A16">
        <w:t xml:space="preserve">logical flow and </w:t>
      </w:r>
      <w:r w:rsidR="00045EEA">
        <w:t xml:space="preserve">correct </w:t>
      </w:r>
      <w:r>
        <w:t>numerous typos and inconsistencies</w:t>
      </w:r>
      <w:r w:rsidR="002D6A16">
        <w:t xml:space="preserve"> (</w:t>
      </w:r>
      <w:r>
        <w:t xml:space="preserve">and </w:t>
      </w:r>
      <w:r w:rsidR="00045EEA">
        <w:t xml:space="preserve">add </w:t>
      </w:r>
      <w:r w:rsidR="00E508A4">
        <w:t xml:space="preserve">page </w:t>
      </w:r>
      <w:r w:rsidR="00045EEA">
        <w:t xml:space="preserve">and </w:t>
      </w:r>
      <w:r w:rsidR="00E508A4">
        <w:t>section numbers</w:t>
      </w:r>
      <w:r w:rsidR="002D6A16">
        <w:t>)</w:t>
      </w:r>
      <w:r w:rsidR="00E508A4">
        <w:t>.</w:t>
      </w:r>
      <w:r w:rsidR="002E4B3D">
        <w:t xml:space="preserve"> The guideline also contradicts the new Policy in several places including the following.</w:t>
      </w:r>
    </w:p>
    <w:p w:rsidR="002E4B3D" w:rsidRDefault="002E4B3D" w:rsidP="00A522AB">
      <w:pPr>
        <w:pStyle w:val="ListParagraph"/>
        <w:numPr>
          <w:ilvl w:val="0"/>
          <w:numId w:val="3"/>
        </w:numPr>
      </w:pPr>
      <w:r>
        <w:t>wet and dry weather d</w:t>
      </w:r>
      <w:r w:rsidR="008921A5">
        <w:t>iscussion appears to differ between the two documents</w:t>
      </w:r>
      <w:r w:rsidR="00045EEA">
        <w:t>.</w:t>
      </w:r>
      <w:r>
        <w:t xml:space="preserve"> </w:t>
      </w:r>
    </w:p>
    <w:p w:rsidR="0033284C" w:rsidRDefault="008921A5" w:rsidP="00A522AB">
      <w:pPr>
        <w:pStyle w:val="ListParagraph"/>
        <w:numPr>
          <w:ilvl w:val="0"/>
          <w:numId w:val="3"/>
        </w:numPr>
      </w:pPr>
      <w:r>
        <w:t>the last paragraph of th</w:t>
      </w:r>
      <w:r w:rsidR="00045EEA">
        <w:t xml:space="preserve">e nutrient </w:t>
      </w:r>
      <w:r>
        <w:t xml:space="preserve">section </w:t>
      </w:r>
      <w:r w:rsidR="00045EEA">
        <w:t xml:space="preserve">which </w:t>
      </w:r>
      <w:r>
        <w:t>refers to DIN as “the equivalence measure” which appears to contradict all previous engagement about the Policy which focussed on TN</w:t>
      </w:r>
      <w:r w:rsidR="00727874">
        <w:t xml:space="preserve"> (and see comments above)</w:t>
      </w:r>
      <w:bookmarkStart w:id="3" w:name="_GoBack"/>
      <w:bookmarkEnd w:id="3"/>
      <w:r>
        <w:t>.</w:t>
      </w:r>
    </w:p>
    <w:p w:rsidR="0097389D" w:rsidRDefault="0097389D" w:rsidP="00A522AB">
      <w:pPr>
        <w:pStyle w:val="ListParagraph"/>
        <w:numPr>
          <w:ilvl w:val="0"/>
          <w:numId w:val="3"/>
        </w:numPr>
      </w:pPr>
      <w:r>
        <w:t>Figure 2 in the Guideline differs from the similar figure in the Policy. These comments assume the Policy diagram is the correct one.</w:t>
      </w:r>
      <w:r w:rsidR="0033284C">
        <w:t xml:space="preserve"> The offset examples given in the Guideline (e.g. p</w:t>
      </w:r>
      <w:r w:rsidR="00045EEA">
        <w:t xml:space="preserve">. </w:t>
      </w:r>
      <w:r w:rsidR="0033284C">
        <w:t xml:space="preserve">11) follow the ratios given in Figure 2 of the Guideline. </w:t>
      </w:r>
    </w:p>
    <w:p w:rsidR="0097389D" w:rsidRDefault="0097389D" w:rsidP="00A522AB">
      <w:pPr>
        <w:pStyle w:val="ListParagraph"/>
        <w:numPr>
          <w:ilvl w:val="0"/>
          <w:numId w:val="3"/>
        </w:numPr>
      </w:pPr>
      <w:r w:rsidRPr="0097389D">
        <w:t xml:space="preserve">uncertainty ratio is </w:t>
      </w:r>
      <w:r>
        <w:t>u</w:t>
      </w:r>
      <w:r w:rsidRPr="0097389D">
        <w:t>sed in the Bubble licenses (page 10) section whereas the policy refers to ‘delivery ratio’.</w:t>
      </w:r>
    </w:p>
    <w:p w:rsidR="0097389D" w:rsidRDefault="0097389D" w:rsidP="00A522AB">
      <w:pPr>
        <w:pStyle w:val="ListParagraph"/>
        <w:numPr>
          <w:ilvl w:val="0"/>
          <w:numId w:val="3"/>
        </w:numPr>
      </w:pPr>
      <w:r w:rsidRPr="0097389D">
        <w:t>p</w:t>
      </w:r>
      <w:r w:rsidR="00045EEA">
        <w:t>.</w:t>
      </w:r>
      <w:r w:rsidRPr="0097389D">
        <w:t xml:space="preserve"> 5 “Best practice in the Environmental Protection Act 1994 (EP Act) (Section 5)…” should be Section 21 not Section</w:t>
      </w:r>
      <w:r>
        <w:t xml:space="preserve"> </w:t>
      </w:r>
      <w:r w:rsidRPr="0097389D">
        <w:t>5.</w:t>
      </w:r>
    </w:p>
    <w:p w:rsidR="0097389D" w:rsidRPr="0097389D" w:rsidRDefault="0097389D" w:rsidP="00A522AB">
      <w:pPr>
        <w:pStyle w:val="ListParagraph"/>
        <w:numPr>
          <w:ilvl w:val="0"/>
          <w:numId w:val="3"/>
        </w:numPr>
      </w:pPr>
      <w:r>
        <w:t xml:space="preserve">In a few locations, “Environmental Protection Act 1994 (EP Act) (Section 5)” is used, but it should be “Point Source Water Quality Offset Policy 2018 (Section 5)”. </w:t>
      </w:r>
      <w:r w:rsidR="00045EEA">
        <w:t xml:space="preserve">For </w:t>
      </w:r>
      <w:r w:rsidR="00045EEA">
        <w:lastRenderedPageBreak/>
        <w:t xml:space="preserve">example, </w:t>
      </w:r>
      <w:r w:rsidRPr="0097389D">
        <w:t>p</w:t>
      </w:r>
      <w:r w:rsidR="00045EEA">
        <w:t>.</w:t>
      </w:r>
      <w:r w:rsidRPr="0097389D">
        <w:t xml:space="preserve"> 9 “Wet weather days as stated in the Environmental Protection Act 1994 (Section 5)…” should reference the </w:t>
      </w:r>
      <w:r>
        <w:t>P</w:t>
      </w:r>
      <w:r w:rsidRPr="0097389D">
        <w:t>olicy not the Act</w:t>
      </w:r>
      <w:r w:rsidR="00045EEA">
        <w:t xml:space="preserve"> and an</w:t>
      </w:r>
      <w:r w:rsidRPr="0097389D">
        <w:t xml:space="preserve"> incorrect section of the Act is referenced.</w:t>
      </w:r>
    </w:p>
    <w:p w:rsidR="00A936BF" w:rsidRDefault="00A936BF" w:rsidP="00DD4D29"/>
    <w:p w:rsidR="00045EEA" w:rsidRDefault="00A936BF" w:rsidP="00045EEA">
      <w:r>
        <w:t xml:space="preserve">The guideline </w:t>
      </w:r>
      <w:r w:rsidR="00045EEA">
        <w:t>wo</w:t>
      </w:r>
      <w:r>
        <w:t>uld be</w:t>
      </w:r>
      <w:r w:rsidR="00045EEA">
        <w:t xml:space="preserve"> more useful if it were</w:t>
      </w:r>
      <w:r>
        <w:t xml:space="preserve"> structured </w:t>
      </w:r>
      <w:r w:rsidR="00045EEA">
        <w:t xml:space="preserve">as </w:t>
      </w:r>
      <w:r>
        <w:t>step-by-step guidance for a proponent so that they can understand the key steps, current accepted methods and required information needed for a nutrient offset project</w:t>
      </w:r>
      <w:r w:rsidR="00045EEA">
        <w:t xml:space="preserve">. This could include a list of the </w:t>
      </w:r>
    </w:p>
    <w:p w:rsidR="00A936BF" w:rsidRDefault="00A936BF" w:rsidP="00A936BF">
      <w:r>
        <w:t xml:space="preserve">information </w:t>
      </w:r>
      <w:r w:rsidR="00045EEA">
        <w:t xml:space="preserve">required to </w:t>
      </w:r>
      <w:r>
        <w:t xml:space="preserve">seek amendment </w:t>
      </w:r>
      <w:r w:rsidR="00045EEA">
        <w:t xml:space="preserve">of </w:t>
      </w:r>
      <w:r>
        <w:t>an EA to include a nutrient offset.</w:t>
      </w:r>
      <w:r w:rsidR="00045EEA">
        <w:t xml:space="preserve"> A </w:t>
      </w:r>
      <w:r w:rsidR="002D6A16">
        <w:t xml:space="preserve">stronger emphasis on </w:t>
      </w:r>
      <w:r>
        <w:t xml:space="preserve">landowner aspects </w:t>
      </w:r>
      <w:r w:rsidR="00045EEA">
        <w:t xml:space="preserve">of offset development would be warranted </w:t>
      </w:r>
      <w:r>
        <w:t>as this can be a</w:t>
      </w:r>
      <w:r w:rsidR="00045EEA">
        <w:t xml:space="preserve"> critical barrier </w:t>
      </w:r>
      <w:r>
        <w:t>or cause major</w:t>
      </w:r>
      <w:r w:rsidR="00045EEA">
        <w:t xml:space="preserve">s </w:t>
      </w:r>
      <w:r>
        <w:t>to a project</w:t>
      </w:r>
      <w:r w:rsidR="00045EEA">
        <w:t>.</w:t>
      </w:r>
    </w:p>
    <w:p w:rsidR="00045EEA" w:rsidRDefault="00045EEA" w:rsidP="00A936BF"/>
    <w:p w:rsidR="00852322" w:rsidRDefault="002D6A16" w:rsidP="00852322">
      <w:r>
        <w:t xml:space="preserve">A greater number of examples of the application of the policy in the guidelines </w:t>
      </w:r>
      <w:r w:rsidR="00045EEA">
        <w:t>would be welcome along with further examples. It is acknowledged that these may need to be developed over time. However, t</w:t>
      </w:r>
      <w:r w:rsidR="00852322">
        <w:t>he guideline lacks clear examples of potential dry weather offsets in areas where there is no significant agricultural or farming activit</w:t>
      </w:r>
      <w:r w:rsidR="00045EEA">
        <w:t>y suggesting that dry-weather offsets are not likely under the Policy</w:t>
      </w:r>
      <w:r w:rsidR="00852322">
        <w:t xml:space="preserve">. </w:t>
      </w:r>
    </w:p>
    <w:p w:rsidR="002D6A16" w:rsidRDefault="002D6A16" w:rsidP="00A936BF"/>
    <w:sectPr w:rsidR="002D6A16" w:rsidSect="00E720E0">
      <w:footerReference w:type="default" r:id="rId14"/>
      <w:pgSz w:w="11906" w:h="16838"/>
      <w:pgMar w:top="1440"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4D0" w:rsidRDefault="002824D0" w:rsidP="00AF34BD">
      <w:r>
        <w:separator/>
      </w:r>
    </w:p>
  </w:endnote>
  <w:endnote w:type="continuationSeparator" w:id="0">
    <w:p w:rsidR="002824D0" w:rsidRDefault="002824D0" w:rsidP="00AF3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charset w:val="00"/>
    <w:family w:val="auto"/>
    <w:pitch w:val="default"/>
    <w:sig w:usb0="00000000" w:usb1="00000000" w:usb2="00000000" w:usb3="00000000" w:csb0="00000000" w:csb1="00000000"/>
  </w:font>
  <w:font w:name="Arial-BoldMT">
    <w:altName w:val="Arial"/>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91" w:rsidRDefault="00F47A91"/>
  <w:p w:rsidR="00F47A91" w:rsidRPr="0058403A" w:rsidRDefault="00F47A91">
    <w:pPr>
      <w:pStyle w:val="FooterEven"/>
    </w:pPr>
    <w:r>
      <w:t xml:space="preserve">Page </w:t>
    </w:r>
    <w:r w:rsidR="00AA5F9C" w:rsidRPr="00AA5F9C">
      <w:fldChar w:fldCharType="begin"/>
    </w:r>
    <w:r>
      <w:instrText xml:space="preserve"> PAGE   \* MERGEFORMAT </w:instrText>
    </w:r>
    <w:r w:rsidR="00AA5F9C" w:rsidRPr="00AA5F9C">
      <w:fldChar w:fldCharType="separate"/>
    </w:r>
    <w:r w:rsidR="00D06B89" w:rsidRPr="00D06B89">
      <w:rPr>
        <w:noProof/>
        <w:sz w:val="24"/>
        <w:szCs w:val="24"/>
      </w:rPr>
      <w:t>5</w:t>
    </w:r>
    <w:r w:rsidR="00AA5F9C">
      <w:rPr>
        <w:noProof/>
        <w:sz w:val="24"/>
        <w:szCs w:val="24"/>
      </w:rPr>
      <w:fldChar w:fldCharType="end"/>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w:t>
    </w:r>
    <w:r w:rsidRPr="007D045F">
      <w:rPr>
        <w:b/>
        <w:i/>
        <w:noProof/>
        <w:szCs w:val="24"/>
      </w:rPr>
      <w:t>qldwater</w:t>
    </w:r>
    <w:r w:rsidRPr="007D045F">
      <w:rPr>
        <w:noProof/>
        <w:szCs w:val="24"/>
      </w:rPr>
      <w:t xml:space="preserve"> ph: 3632 6850</w:t>
    </w:r>
  </w:p>
  <w:p w:rsidR="00F47A91" w:rsidRPr="00BB784E" w:rsidRDefault="00F47A91" w:rsidP="00AF3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4D0" w:rsidRDefault="002824D0" w:rsidP="00AF34BD">
      <w:r>
        <w:separator/>
      </w:r>
    </w:p>
  </w:footnote>
  <w:footnote w:type="continuationSeparator" w:id="0">
    <w:p w:rsidR="002824D0" w:rsidRDefault="002824D0" w:rsidP="00AF34BD">
      <w:r>
        <w:continuationSeparator/>
      </w:r>
    </w:p>
  </w:footnote>
  <w:footnote w:id="1">
    <w:p w:rsidR="00852322" w:rsidRPr="00852322" w:rsidRDefault="00852322">
      <w:pPr>
        <w:pStyle w:val="FootnoteText"/>
        <w:rPr>
          <w:lang w:val="en-US"/>
        </w:rPr>
      </w:pPr>
      <w:r>
        <w:rPr>
          <w:rStyle w:val="FootnoteReference"/>
        </w:rPr>
        <w:footnoteRef/>
      </w:r>
      <w:r>
        <w:t xml:space="preserve"> For example, dry and wet weather days are inappropriate surrogates for nutrient mobility in the natural environment. Better alternatives are “period when a relevant non-point source water flow doesn’t trigger pollutant mobility” for dry weather and “period when a relevant non-point source water flow does trigger pollutant mobility” for wet weather. For a streambank restoration project, on any day the stream has erosive flows in the offset project area, the offset is valid.  This could be a day in quite a dry period. For a stormwater WQ improvement project, the stormwater flows may occur for several “dry weather” days after the wet weather day and therefore the offset is valid on these dry days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3DD6"/>
    <w:multiLevelType w:val="hybridMultilevel"/>
    <w:tmpl w:val="E922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96435"/>
    <w:multiLevelType w:val="multilevel"/>
    <w:tmpl w:val="B0F2CDA4"/>
    <w:lvl w:ilvl="0">
      <w:start w:val="1"/>
      <w:numFmt w:val="none"/>
      <w:lvlText w:val=""/>
      <w:lvlJc w:val="left"/>
      <w:pPr>
        <w:ind w:left="0" w:firstLine="0"/>
      </w:pPr>
      <w:rPr>
        <w:b w:val="0"/>
        <w:i w:val="0"/>
        <w:sz w:val="22"/>
      </w:rPr>
    </w:lvl>
    <w:lvl w:ilvl="1">
      <w:start w:val="1"/>
      <w:numFmt w:val="lowerLetter"/>
      <w:pStyle w:val="NumListAlpha"/>
      <w:lvlText w:val="%2."/>
      <w:lvlJc w:val="left"/>
      <w:pPr>
        <w:ind w:left="794" w:hanging="397"/>
      </w:pPr>
      <w:rPr>
        <w:rFonts w:ascii="Arial" w:hAnsi="Arial" w:cs="Times New Roman" w:hint="default"/>
        <w:b w:val="0"/>
        <w:i w:val="0"/>
        <w:sz w:val="22"/>
      </w:rPr>
    </w:lvl>
    <w:lvl w:ilvl="2">
      <w:start w:val="1"/>
      <w:numFmt w:val="lowerRoman"/>
      <w:pStyle w:val="NumListIndent"/>
      <w:lvlText w:val="%3."/>
      <w:lvlJc w:val="left"/>
      <w:pPr>
        <w:tabs>
          <w:tab w:val="num" w:pos="851"/>
        </w:tabs>
        <w:ind w:left="1191" w:hanging="397"/>
      </w:pPr>
    </w:lvl>
    <w:lvl w:ilvl="3">
      <w:start w:val="1"/>
      <w:numFmt w:val="bullet"/>
      <w:pStyle w:val="ListBullet"/>
      <w:lvlText w:val=""/>
      <w:lvlJc w:val="left"/>
      <w:pPr>
        <w:tabs>
          <w:tab w:val="num" w:pos="794"/>
        </w:tabs>
        <w:ind w:left="794" w:hanging="397"/>
      </w:pPr>
      <w:rPr>
        <w:rFonts w:ascii="Symbol" w:hAnsi="Symbol" w:hint="default"/>
      </w:rPr>
    </w:lvl>
    <w:lvl w:ilvl="4">
      <w:start w:val="1"/>
      <w:numFmt w:val="bullet"/>
      <w:pStyle w:val="ListBullet2"/>
      <w:lvlText w:val=""/>
      <w:lvlJc w:val="left"/>
      <w:pPr>
        <w:tabs>
          <w:tab w:val="num" w:pos="1191"/>
        </w:tabs>
        <w:ind w:left="1191" w:hanging="397"/>
      </w:pPr>
      <w:rPr>
        <w:rFonts w:ascii="Symbol" w:hAnsi="Symbol" w:hint="default"/>
      </w:rPr>
    </w:lvl>
    <w:lvl w:ilvl="5">
      <w:start w:val="1"/>
      <w:numFmt w:val="bullet"/>
      <w:pStyle w:val="ListBullet3"/>
      <w:lvlText w:val=""/>
      <w:lvlJc w:val="left"/>
      <w:pPr>
        <w:tabs>
          <w:tab w:val="num" w:pos="1588"/>
        </w:tabs>
        <w:ind w:left="1588" w:hanging="397"/>
      </w:pPr>
      <w:rPr>
        <w:rFonts w:ascii="Symbol" w:hAnsi="Symbol" w:hint="default"/>
      </w:rPr>
    </w:lvl>
    <w:lvl w:ilvl="6">
      <w:start w:val="1"/>
      <w:numFmt w:val="bullet"/>
      <w:pStyle w:val="ListBullet4"/>
      <w:lvlText w:val=""/>
      <w:lvlJc w:val="left"/>
      <w:pPr>
        <w:tabs>
          <w:tab w:val="num" w:pos="1985"/>
        </w:tabs>
        <w:ind w:left="1985" w:hanging="397"/>
      </w:pPr>
      <w:rPr>
        <w:rFonts w:ascii="Symbol" w:hAnsi="Symbol" w:hint="default"/>
      </w:rPr>
    </w:lvl>
    <w:lvl w:ilvl="7">
      <w:start w:val="1"/>
      <w:numFmt w:val="none"/>
      <w:lvlText w:val=""/>
      <w:lvlJc w:val="left"/>
      <w:pPr>
        <w:ind w:left="-32767" w:firstLine="0"/>
      </w:pPr>
    </w:lvl>
    <w:lvl w:ilvl="8">
      <w:start w:val="1"/>
      <w:numFmt w:val="none"/>
      <w:lvlText w:val=""/>
      <w:lvlJc w:val="left"/>
      <w:pPr>
        <w:ind w:left="-32767" w:firstLine="0"/>
      </w:pPr>
    </w:lvl>
  </w:abstractNum>
  <w:abstractNum w:abstractNumId="2">
    <w:nsid w:val="2C532F08"/>
    <w:multiLevelType w:val="hybridMultilevel"/>
    <w:tmpl w:val="22F6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E2F67"/>
    <w:multiLevelType w:val="hybridMultilevel"/>
    <w:tmpl w:val="1B62DFE4"/>
    <w:lvl w:ilvl="0" w:tplc="CF382574">
      <w:start w:val="1"/>
      <w:numFmt w:val="decimal"/>
      <w:pStyle w:val="Heading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46F19"/>
    <w:rsid w:val="000146F3"/>
    <w:rsid w:val="00024EE1"/>
    <w:rsid w:val="00032E6D"/>
    <w:rsid w:val="000331C8"/>
    <w:rsid w:val="000440D8"/>
    <w:rsid w:val="00045A54"/>
    <w:rsid w:val="00045EEA"/>
    <w:rsid w:val="0005212D"/>
    <w:rsid w:val="000616F4"/>
    <w:rsid w:val="00062643"/>
    <w:rsid w:val="00073806"/>
    <w:rsid w:val="000762DB"/>
    <w:rsid w:val="00077F34"/>
    <w:rsid w:val="00084973"/>
    <w:rsid w:val="000975A7"/>
    <w:rsid w:val="000A0001"/>
    <w:rsid w:val="000A0077"/>
    <w:rsid w:val="000A28B8"/>
    <w:rsid w:val="000B2337"/>
    <w:rsid w:val="000C0B94"/>
    <w:rsid w:val="000E2027"/>
    <w:rsid w:val="000F3A32"/>
    <w:rsid w:val="0011388F"/>
    <w:rsid w:val="00117DB2"/>
    <w:rsid w:val="00126BFB"/>
    <w:rsid w:val="001312AA"/>
    <w:rsid w:val="00131E89"/>
    <w:rsid w:val="00144C42"/>
    <w:rsid w:val="0014591B"/>
    <w:rsid w:val="001524D8"/>
    <w:rsid w:val="001538A6"/>
    <w:rsid w:val="00160159"/>
    <w:rsid w:val="00161463"/>
    <w:rsid w:val="0016736A"/>
    <w:rsid w:val="00173BA8"/>
    <w:rsid w:val="00187F51"/>
    <w:rsid w:val="0019231E"/>
    <w:rsid w:val="00193EC9"/>
    <w:rsid w:val="001977BD"/>
    <w:rsid w:val="001A338C"/>
    <w:rsid w:val="001C16B0"/>
    <w:rsid w:val="001C3E4A"/>
    <w:rsid w:val="001C4839"/>
    <w:rsid w:val="001D1B4B"/>
    <w:rsid w:val="001D36A2"/>
    <w:rsid w:val="001D6186"/>
    <w:rsid w:val="001F32F8"/>
    <w:rsid w:val="00211E12"/>
    <w:rsid w:val="002170A1"/>
    <w:rsid w:val="002172CB"/>
    <w:rsid w:val="00217457"/>
    <w:rsid w:val="002205A5"/>
    <w:rsid w:val="0022096B"/>
    <w:rsid w:val="002319CF"/>
    <w:rsid w:val="0023714D"/>
    <w:rsid w:val="002462C0"/>
    <w:rsid w:val="002464F4"/>
    <w:rsid w:val="002505FD"/>
    <w:rsid w:val="0025143A"/>
    <w:rsid w:val="002558DC"/>
    <w:rsid w:val="00256FFA"/>
    <w:rsid w:val="002608AE"/>
    <w:rsid w:val="00261F96"/>
    <w:rsid w:val="00265A1E"/>
    <w:rsid w:val="002667EF"/>
    <w:rsid w:val="00266B91"/>
    <w:rsid w:val="00267CDD"/>
    <w:rsid w:val="00267D53"/>
    <w:rsid w:val="002716F7"/>
    <w:rsid w:val="00271FFF"/>
    <w:rsid w:val="00275322"/>
    <w:rsid w:val="00276051"/>
    <w:rsid w:val="00276A75"/>
    <w:rsid w:val="002772CE"/>
    <w:rsid w:val="00281E92"/>
    <w:rsid w:val="002824D0"/>
    <w:rsid w:val="00290C6B"/>
    <w:rsid w:val="00292BD1"/>
    <w:rsid w:val="002A73B1"/>
    <w:rsid w:val="002A7552"/>
    <w:rsid w:val="002D5BB3"/>
    <w:rsid w:val="002D6A16"/>
    <w:rsid w:val="002E4B3D"/>
    <w:rsid w:val="002F6C9A"/>
    <w:rsid w:val="00300B2B"/>
    <w:rsid w:val="003043F5"/>
    <w:rsid w:val="00314B92"/>
    <w:rsid w:val="00317EA4"/>
    <w:rsid w:val="00326B23"/>
    <w:rsid w:val="0033284C"/>
    <w:rsid w:val="003344D7"/>
    <w:rsid w:val="00337395"/>
    <w:rsid w:val="00343087"/>
    <w:rsid w:val="003434AC"/>
    <w:rsid w:val="0034514A"/>
    <w:rsid w:val="00346F19"/>
    <w:rsid w:val="00351427"/>
    <w:rsid w:val="00351FC0"/>
    <w:rsid w:val="00352567"/>
    <w:rsid w:val="00355FFB"/>
    <w:rsid w:val="003602AC"/>
    <w:rsid w:val="00360A4D"/>
    <w:rsid w:val="00361F7A"/>
    <w:rsid w:val="00373351"/>
    <w:rsid w:val="003748E0"/>
    <w:rsid w:val="00381495"/>
    <w:rsid w:val="003849F6"/>
    <w:rsid w:val="00385765"/>
    <w:rsid w:val="00385D86"/>
    <w:rsid w:val="00391D99"/>
    <w:rsid w:val="00397D87"/>
    <w:rsid w:val="003A2325"/>
    <w:rsid w:val="003A51E5"/>
    <w:rsid w:val="003C0E81"/>
    <w:rsid w:val="003C4B6B"/>
    <w:rsid w:val="003D15EA"/>
    <w:rsid w:val="003D6928"/>
    <w:rsid w:val="003D7591"/>
    <w:rsid w:val="003E2076"/>
    <w:rsid w:val="003E6254"/>
    <w:rsid w:val="003E7104"/>
    <w:rsid w:val="003F0316"/>
    <w:rsid w:val="003F163B"/>
    <w:rsid w:val="004014AA"/>
    <w:rsid w:val="00401BDC"/>
    <w:rsid w:val="00401FDC"/>
    <w:rsid w:val="00407002"/>
    <w:rsid w:val="00421836"/>
    <w:rsid w:val="00424A85"/>
    <w:rsid w:val="00425D73"/>
    <w:rsid w:val="00433345"/>
    <w:rsid w:val="004403D9"/>
    <w:rsid w:val="00446622"/>
    <w:rsid w:val="00452714"/>
    <w:rsid w:val="00460E4E"/>
    <w:rsid w:val="00461DA4"/>
    <w:rsid w:val="00487A44"/>
    <w:rsid w:val="00494CCC"/>
    <w:rsid w:val="00494D68"/>
    <w:rsid w:val="0049772B"/>
    <w:rsid w:val="004A73BA"/>
    <w:rsid w:val="004C01DB"/>
    <w:rsid w:val="004C05E3"/>
    <w:rsid w:val="004C5552"/>
    <w:rsid w:val="004C60E9"/>
    <w:rsid w:val="004E63ED"/>
    <w:rsid w:val="004F1F73"/>
    <w:rsid w:val="00501108"/>
    <w:rsid w:val="00510183"/>
    <w:rsid w:val="0051463B"/>
    <w:rsid w:val="00520FB3"/>
    <w:rsid w:val="0052209B"/>
    <w:rsid w:val="00523C7B"/>
    <w:rsid w:val="00523EC4"/>
    <w:rsid w:val="0053140A"/>
    <w:rsid w:val="005331EE"/>
    <w:rsid w:val="0053392D"/>
    <w:rsid w:val="00535FE7"/>
    <w:rsid w:val="005376FA"/>
    <w:rsid w:val="0054090F"/>
    <w:rsid w:val="00547D03"/>
    <w:rsid w:val="00567AF7"/>
    <w:rsid w:val="00572572"/>
    <w:rsid w:val="005733F1"/>
    <w:rsid w:val="00573E9B"/>
    <w:rsid w:val="0058065E"/>
    <w:rsid w:val="00581D51"/>
    <w:rsid w:val="00582900"/>
    <w:rsid w:val="00583605"/>
    <w:rsid w:val="0058403A"/>
    <w:rsid w:val="0058403F"/>
    <w:rsid w:val="00591532"/>
    <w:rsid w:val="00594DAB"/>
    <w:rsid w:val="00596B24"/>
    <w:rsid w:val="00597A2F"/>
    <w:rsid w:val="005A3608"/>
    <w:rsid w:val="005B0B23"/>
    <w:rsid w:val="005B6F85"/>
    <w:rsid w:val="005C00A5"/>
    <w:rsid w:val="005C43D1"/>
    <w:rsid w:val="005C7EF2"/>
    <w:rsid w:val="005E1AD1"/>
    <w:rsid w:val="005E2A45"/>
    <w:rsid w:val="005F1C90"/>
    <w:rsid w:val="005F3422"/>
    <w:rsid w:val="005F3E6E"/>
    <w:rsid w:val="005F6561"/>
    <w:rsid w:val="005F73C6"/>
    <w:rsid w:val="005F78C8"/>
    <w:rsid w:val="006012D1"/>
    <w:rsid w:val="00603097"/>
    <w:rsid w:val="006129F6"/>
    <w:rsid w:val="00612BBB"/>
    <w:rsid w:val="00613331"/>
    <w:rsid w:val="006149C5"/>
    <w:rsid w:val="00615090"/>
    <w:rsid w:val="006214E6"/>
    <w:rsid w:val="0062453B"/>
    <w:rsid w:val="00627DA8"/>
    <w:rsid w:val="006317E8"/>
    <w:rsid w:val="00635477"/>
    <w:rsid w:val="006722FC"/>
    <w:rsid w:val="00673375"/>
    <w:rsid w:val="006764F2"/>
    <w:rsid w:val="006802ED"/>
    <w:rsid w:val="00681E92"/>
    <w:rsid w:val="00685C47"/>
    <w:rsid w:val="00687E6A"/>
    <w:rsid w:val="00696809"/>
    <w:rsid w:val="006B7C46"/>
    <w:rsid w:val="006C2470"/>
    <w:rsid w:val="006D1A6C"/>
    <w:rsid w:val="006F2456"/>
    <w:rsid w:val="006F4D48"/>
    <w:rsid w:val="00702B3E"/>
    <w:rsid w:val="007043EB"/>
    <w:rsid w:val="00716846"/>
    <w:rsid w:val="00717F8B"/>
    <w:rsid w:val="00724642"/>
    <w:rsid w:val="00727874"/>
    <w:rsid w:val="0073255D"/>
    <w:rsid w:val="0073367C"/>
    <w:rsid w:val="007411B2"/>
    <w:rsid w:val="007424CE"/>
    <w:rsid w:val="00745015"/>
    <w:rsid w:val="0075172C"/>
    <w:rsid w:val="00766C9D"/>
    <w:rsid w:val="00770665"/>
    <w:rsid w:val="007749C9"/>
    <w:rsid w:val="00780B3C"/>
    <w:rsid w:val="007A3501"/>
    <w:rsid w:val="007C3C59"/>
    <w:rsid w:val="007D01BE"/>
    <w:rsid w:val="007D045F"/>
    <w:rsid w:val="007D4F5D"/>
    <w:rsid w:val="007D6F85"/>
    <w:rsid w:val="007E1B95"/>
    <w:rsid w:val="007F6686"/>
    <w:rsid w:val="00802739"/>
    <w:rsid w:val="008051CF"/>
    <w:rsid w:val="00806EDF"/>
    <w:rsid w:val="00812473"/>
    <w:rsid w:val="00814C8C"/>
    <w:rsid w:val="00821E97"/>
    <w:rsid w:val="0082570A"/>
    <w:rsid w:val="00825BBE"/>
    <w:rsid w:val="008322F3"/>
    <w:rsid w:val="008414D8"/>
    <w:rsid w:val="00852322"/>
    <w:rsid w:val="008563A6"/>
    <w:rsid w:val="00867FC6"/>
    <w:rsid w:val="00871737"/>
    <w:rsid w:val="00873BA1"/>
    <w:rsid w:val="00875D6A"/>
    <w:rsid w:val="00877D37"/>
    <w:rsid w:val="008921A5"/>
    <w:rsid w:val="00892DCE"/>
    <w:rsid w:val="008B4895"/>
    <w:rsid w:val="008B7477"/>
    <w:rsid w:val="008C10D2"/>
    <w:rsid w:val="008C41BD"/>
    <w:rsid w:val="008D1992"/>
    <w:rsid w:val="008E49DB"/>
    <w:rsid w:val="008F1D49"/>
    <w:rsid w:val="008F27D4"/>
    <w:rsid w:val="00917F40"/>
    <w:rsid w:val="00922509"/>
    <w:rsid w:val="0092485D"/>
    <w:rsid w:val="00926CA0"/>
    <w:rsid w:val="00933C1D"/>
    <w:rsid w:val="009346E1"/>
    <w:rsid w:val="00937616"/>
    <w:rsid w:val="009432CD"/>
    <w:rsid w:val="0094777B"/>
    <w:rsid w:val="009519B0"/>
    <w:rsid w:val="00971450"/>
    <w:rsid w:val="0097389D"/>
    <w:rsid w:val="00991F1C"/>
    <w:rsid w:val="00993DCD"/>
    <w:rsid w:val="009A2C8C"/>
    <w:rsid w:val="009A5E45"/>
    <w:rsid w:val="009B35FF"/>
    <w:rsid w:val="009B77C9"/>
    <w:rsid w:val="009D2D35"/>
    <w:rsid w:val="009E0796"/>
    <w:rsid w:val="009E39FF"/>
    <w:rsid w:val="009E3EEF"/>
    <w:rsid w:val="009F13D7"/>
    <w:rsid w:val="009F730A"/>
    <w:rsid w:val="00A1780E"/>
    <w:rsid w:val="00A206F8"/>
    <w:rsid w:val="00A32A03"/>
    <w:rsid w:val="00A34F6B"/>
    <w:rsid w:val="00A3674B"/>
    <w:rsid w:val="00A36839"/>
    <w:rsid w:val="00A40BC5"/>
    <w:rsid w:val="00A423BD"/>
    <w:rsid w:val="00A4333C"/>
    <w:rsid w:val="00A45EB6"/>
    <w:rsid w:val="00A518C6"/>
    <w:rsid w:val="00A522AB"/>
    <w:rsid w:val="00A5248D"/>
    <w:rsid w:val="00A56777"/>
    <w:rsid w:val="00A57499"/>
    <w:rsid w:val="00A60AF1"/>
    <w:rsid w:val="00A629CC"/>
    <w:rsid w:val="00A821B8"/>
    <w:rsid w:val="00A83F32"/>
    <w:rsid w:val="00A918F1"/>
    <w:rsid w:val="00A936BF"/>
    <w:rsid w:val="00AA0787"/>
    <w:rsid w:val="00AA5F9C"/>
    <w:rsid w:val="00AA6BFA"/>
    <w:rsid w:val="00AB4BCB"/>
    <w:rsid w:val="00AB70E2"/>
    <w:rsid w:val="00AD7395"/>
    <w:rsid w:val="00AD7BCB"/>
    <w:rsid w:val="00AE4C88"/>
    <w:rsid w:val="00AE63E3"/>
    <w:rsid w:val="00AF27DE"/>
    <w:rsid w:val="00AF34BD"/>
    <w:rsid w:val="00AF4B6A"/>
    <w:rsid w:val="00AF611A"/>
    <w:rsid w:val="00B1310B"/>
    <w:rsid w:val="00B20818"/>
    <w:rsid w:val="00B37E5F"/>
    <w:rsid w:val="00B46D03"/>
    <w:rsid w:val="00B475E0"/>
    <w:rsid w:val="00B50C32"/>
    <w:rsid w:val="00B51A46"/>
    <w:rsid w:val="00B5342C"/>
    <w:rsid w:val="00B552D6"/>
    <w:rsid w:val="00B605B5"/>
    <w:rsid w:val="00B63931"/>
    <w:rsid w:val="00B63FE8"/>
    <w:rsid w:val="00B658C2"/>
    <w:rsid w:val="00B66695"/>
    <w:rsid w:val="00B714E2"/>
    <w:rsid w:val="00B72FB8"/>
    <w:rsid w:val="00B74C02"/>
    <w:rsid w:val="00B826DE"/>
    <w:rsid w:val="00B82CB5"/>
    <w:rsid w:val="00B86678"/>
    <w:rsid w:val="00BB5227"/>
    <w:rsid w:val="00BB784E"/>
    <w:rsid w:val="00BC05EF"/>
    <w:rsid w:val="00BC5A08"/>
    <w:rsid w:val="00BE2E1E"/>
    <w:rsid w:val="00BE5A55"/>
    <w:rsid w:val="00BE5CB7"/>
    <w:rsid w:val="00BE649B"/>
    <w:rsid w:val="00BF4D09"/>
    <w:rsid w:val="00BF62D0"/>
    <w:rsid w:val="00C00B8A"/>
    <w:rsid w:val="00C01F00"/>
    <w:rsid w:val="00C030A6"/>
    <w:rsid w:val="00C10EBE"/>
    <w:rsid w:val="00C12429"/>
    <w:rsid w:val="00C21373"/>
    <w:rsid w:val="00C22B2B"/>
    <w:rsid w:val="00C35E0B"/>
    <w:rsid w:val="00C41246"/>
    <w:rsid w:val="00C53E59"/>
    <w:rsid w:val="00C72ADC"/>
    <w:rsid w:val="00C76115"/>
    <w:rsid w:val="00C83D25"/>
    <w:rsid w:val="00C8518A"/>
    <w:rsid w:val="00C945DE"/>
    <w:rsid w:val="00CA07D3"/>
    <w:rsid w:val="00CA25AA"/>
    <w:rsid w:val="00CA7A64"/>
    <w:rsid w:val="00CB098F"/>
    <w:rsid w:val="00CB4D15"/>
    <w:rsid w:val="00CC180B"/>
    <w:rsid w:val="00CE3C24"/>
    <w:rsid w:val="00CE707F"/>
    <w:rsid w:val="00CF47BE"/>
    <w:rsid w:val="00CF51E5"/>
    <w:rsid w:val="00D032D8"/>
    <w:rsid w:val="00D06B89"/>
    <w:rsid w:val="00D15801"/>
    <w:rsid w:val="00D2053E"/>
    <w:rsid w:val="00D211E2"/>
    <w:rsid w:val="00D2498F"/>
    <w:rsid w:val="00D3553A"/>
    <w:rsid w:val="00D37BC1"/>
    <w:rsid w:val="00D4040D"/>
    <w:rsid w:val="00D46007"/>
    <w:rsid w:val="00D46590"/>
    <w:rsid w:val="00D54EBB"/>
    <w:rsid w:val="00D62A5E"/>
    <w:rsid w:val="00D6545E"/>
    <w:rsid w:val="00D65E14"/>
    <w:rsid w:val="00D66062"/>
    <w:rsid w:val="00D72A26"/>
    <w:rsid w:val="00D72C19"/>
    <w:rsid w:val="00D81AC3"/>
    <w:rsid w:val="00D85D82"/>
    <w:rsid w:val="00D87E5D"/>
    <w:rsid w:val="00D962C5"/>
    <w:rsid w:val="00D97860"/>
    <w:rsid w:val="00DA50F6"/>
    <w:rsid w:val="00DA5874"/>
    <w:rsid w:val="00DA7458"/>
    <w:rsid w:val="00DB38F2"/>
    <w:rsid w:val="00DB6247"/>
    <w:rsid w:val="00DC400A"/>
    <w:rsid w:val="00DD4D29"/>
    <w:rsid w:val="00DE115C"/>
    <w:rsid w:val="00DF215F"/>
    <w:rsid w:val="00DF73B5"/>
    <w:rsid w:val="00E02834"/>
    <w:rsid w:val="00E11248"/>
    <w:rsid w:val="00E216A1"/>
    <w:rsid w:val="00E223DF"/>
    <w:rsid w:val="00E2402A"/>
    <w:rsid w:val="00E35538"/>
    <w:rsid w:val="00E4301B"/>
    <w:rsid w:val="00E47F4E"/>
    <w:rsid w:val="00E508A4"/>
    <w:rsid w:val="00E653F2"/>
    <w:rsid w:val="00E71E45"/>
    <w:rsid w:val="00E720E0"/>
    <w:rsid w:val="00E7475D"/>
    <w:rsid w:val="00E84FB8"/>
    <w:rsid w:val="00E90D32"/>
    <w:rsid w:val="00E932A1"/>
    <w:rsid w:val="00EB40B0"/>
    <w:rsid w:val="00EB7698"/>
    <w:rsid w:val="00EC7C74"/>
    <w:rsid w:val="00EE020A"/>
    <w:rsid w:val="00EE067A"/>
    <w:rsid w:val="00EE48C0"/>
    <w:rsid w:val="00EF05D7"/>
    <w:rsid w:val="00EF654C"/>
    <w:rsid w:val="00EF6BEF"/>
    <w:rsid w:val="00F017A2"/>
    <w:rsid w:val="00F06422"/>
    <w:rsid w:val="00F22C4C"/>
    <w:rsid w:val="00F311DE"/>
    <w:rsid w:val="00F3383E"/>
    <w:rsid w:val="00F3607F"/>
    <w:rsid w:val="00F42B70"/>
    <w:rsid w:val="00F45C4D"/>
    <w:rsid w:val="00F47A91"/>
    <w:rsid w:val="00F60959"/>
    <w:rsid w:val="00F67A12"/>
    <w:rsid w:val="00F75E1D"/>
    <w:rsid w:val="00F805AC"/>
    <w:rsid w:val="00F80D38"/>
    <w:rsid w:val="00F8478B"/>
    <w:rsid w:val="00F9113D"/>
    <w:rsid w:val="00F917C5"/>
    <w:rsid w:val="00FA5E3D"/>
    <w:rsid w:val="00FB14DE"/>
    <w:rsid w:val="00FB2A4E"/>
    <w:rsid w:val="00FD6EBC"/>
    <w:rsid w:val="00FE0456"/>
    <w:rsid w:val="00FE26C7"/>
    <w:rsid w:val="00FE44B3"/>
    <w:rsid w:val="00FE7F39"/>
    <w:rsid w:val="00FF29FF"/>
    <w:rsid w:val="00FF39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8" w:qFormat="1"/>
    <w:lsdException w:name="List Bullet 2" w:uiPriority="8" w:qFormat="1"/>
    <w:lsdException w:name="List Bullet 3" w:uiPriority="8" w:qFormat="1"/>
    <w:lsdException w:name="List Bullet 4"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BD"/>
    <w:pPr>
      <w:spacing w:after="0" w:line="240" w:lineRule="auto"/>
    </w:pPr>
    <w:rPr>
      <w:rFonts w:eastAsia="Calibri" w:cstheme="minorHAnsi"/>
      <w:sz w:val="24"/>
      <w:szCs w:val="24"/>
      <w:lang w:eastAsia="en-AU"/>
    </w:rPr>
  </w:style>
  <w:style w:type="paragraph" w:styleId="Heading1">
    <w:name w:val="heading 1"/>
    <w:basedOn w:val="Normal"/>
    <w:next w:val="Normal"/>
    <w:link w:val="Heading1Char"/>
    <w:uiPriority w:val="9"/>
    <w:qFormat/>
    <w:rsid w:val="00E2402A"/>
    <w:pPr>
      <w:numPr>
        <w:numId w:val="1"/>
      </w:numPr>
      <w:ind w:left="426" w:hanging="426"/>
      <w:outlineLvl w:val="0"/>
    </w:pPr>
    <w:rPr>
      <w:rFonts w:eastAsiaTheme="minorHAnsi"/>
      <w:b/>
    </w:rPr>
  </w:style>
  <w:style w:type="paragraph" w:styleId="Heading2">
    <w:name w:val="heading 2"/>
    <w:basedOn w:val="Normal"/>
    <w:next w:val="Normal"/>
    <w:link w:val="Heading2Char"/>
    <w:uiPriority w:val="9"/>
    <w:unhideWhenUsed/>
    <w:qFormat/>
    <w:rsid w:val="00BB784E"/>
    <w:pPr>
      <w:outlineLvl w:val="1"/>
    </w:pPr>
    <w:rPr>
      <w:rFonts w:eastAsiaTheme="minorHAnsi"/>
      <w:b/>
      <w:i/>
    </w:rPr>
  </w:style>
  <w:style w:type="paragraph" w:styleId="Heading3">
    <w:name w:val="heading 3"/>
    <w:basedOn w:val="Normal"/>
    <w:next w:val="Normal"/>
    <w:link w:val="Heading3Char"/>
    <w:uiPriority w:val="9"/>
    <w:unhideWhenUsed/>
    <w:qFormat/>
    <w:rsid w:val="00DD4D2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F19"/>
    <w:rPr>
      <w:color w:val="0000FF"/>
      <w:u w:val="single"/>
    </w:rPr>
  </w:style>
  <w:style w:type="character" w:styleId="FollowedHyperlink">
    <w:name w:val="FollowedHyperlink"/>
    <w:basedOn w:val="DefaultParagraphFont"/>
    <w:uiPriority w:val="99"/>
    <w:semiHidden/>
    <w:unhideWhenUsed/>
    <w:rsid w:val="00346F19"/>
    <w:rPr>
      <w:color w:val="800080" w:themeColor="followedHyperlink"/>
      <w:u w:val="single"/>
    </w:rPr>
  </w:style>
  <w:style w:type="character" w:customStyle="1" w:styleId="Heading1Char">
    <w:name w:val="Heading 1 Char"/>
    <w:basedOn w:val="DefaultParagraphFont"/>
    <w:link w:val="Heading1"/>
    <w:uiPriority w:val="9"/>
    <w:rsid w:val="00E2402A"/>
    <w:rPr>
      <w:rFonts w:cstheme="minorHAnsi"/>
      <w:b/>
      <w:sz w:val="24"/>
      <w:szCs w:val="24"/>
      <w:lang w:eastAsia="en-AU"/>
    </w:rPr>
  </w:style>
  <w:style w:type="character" w:customStyle="1" w:styleId="Heading2Char">
    <w:name w:val="Heading 2 Char"/>
    <w:basedOn w:val="DefaultParagraphFont"/>
    <w:link w:val="Heading2"/>
    <w:uiPriority w:val="9"/>
    <w:rsid w:val="00BB784E"/>
    <w:rPr>
      <w:rFonts w:ascii="Times New Roman" w:hAnsi="Times New Roman" w:cs="Times New Roman"/>
      <w:b/>
      <w:i/>
      <w:sz w:val="24"/>
      <w:szCs w:val="24"/>
      <w:lang w:eastAsia="en-AU"/>
    </w:rPr>
  </w:style>
  <w:style w:type="paragraph" w:styleId="TOCHeading">
    <w:name w:val="TOC Heading"/>
    <w:basedOn w:val="Heading1"/>
    <w:next w:val="Normal"/>
    <w:uiPriority w:val="39"/>
    <w:unhideWhenUsed/>
    <w:qFormat/>
    <w:rsid w:val="00BB784E"/>
    <w:pPr>
      <w:spacing w:line="276" w:lineRule="auto"/>
      <w:outlineLvl w:val="9"/>
    </w:pPr>
    <w:rPr>
      <w:lang w:val="en-US" w:eastAsia="ja-JP"/>
    </w:rPr>
  </w:style>
  <w:style w:type="paragraph" w:styleId="TOC1">
    <w:name w:val="toc 1"/>
    <w:basedOn w:val="Normal"/>
    <w:next w:val="Normal"/>
    <w:autoRedefine/>
    <w:uiPriority w:val="39"/>
    <w:unhideWhenUsed/>
    <w:rsid w:val="00BB784E"/>
    <w:pPr>
      <w:spacing w:after="100"/>
    </w:pPr>
    <w:rPr>
      <w:rFonts w:eastAsiaTheme="minorHAnsi"/>
    </w:rPr>
  </w:style>
  <w:style w:type="paragraph" w:styleId="TOC2">
    <w:name w:val="toc 2"/>
    <w:basedOn w:val="Normal"/>
    <w:next w:val="Normal"/>
    <w:autoRedefine/>
    <w:uiPriority w:val="39"/>
    <w:unhideWhenUsed/>
    <w:rsid w:val="00BB784E"/>
    <w:pPr>
      <w:spacing w:after="100"/>
      <w:ind w:left="240"/>
    </w:pPr>
    <w:rPr>
      <w:rFonts w:eastAsiaTheme="minorHAnsi"/>
    </w:rPr>
  </w:style>
  <w:style w:type="paragraph" w:styleId="BalloonText">
    <w:name w:val="Balloon Text"/>
    <w:basedOn w:val="Normal"/>
    <w:link w:val="BalloonTextChar"/>
    <w:uiPriority w:val="99"/>
    <w:semiHidden/>
    <w:unhideWhenUsed/>
    <w:rsid w:val="00BB784E"/>
    <w:rPr>
      <w:rFonts w:ascii="Tahoma" w:hAnsi="Tahoma" w:cs="Tahoma"/>
      <w:sz w:val="16"/>
      <w:szCs w:val="16"/>
    </w:rPr>
  </w:style>
  <w:style w:type="character" w:customStyle="1" w:styleId="BalloonTextChar">
    <w:name w:val="Balloon Text Char"/>
    <w:basedOn w:val="DefaultParagraphFont"/>
    <w:link w:val="BalloonText"/>
    <w:uiPriority w:val="99"/>
    <w:semiHidden/>
    <w:rsid w:val="00BB784E"/>
    <w:rPr>
      <w:rFonts w:ascii="Tahoma" w:eastAsia="Calibri" w:hAnsi="Tahoma" w:cs="Tahoma"/>
      <w:sz w:val="16"/>
      <w:szCs w:val="16"/>
      <w:lang w:eastAsia="en-AU"/>
    </w:rPr>
  </w:style>
  <w:style w:type="paragraph" w:styleId="Header">
    <w:name w:val="header"/>
    <w:basedOn w:val="Normal"/>
    <w:link w:val="HeaderChar"/>
    <w:uiPriority w:val="99"/>
    <w:unhideWhenUsed/>
    <w:rsid w:val="00BB784E"/>
    <w:pPr>
      <w:tabs>
        <w:tab w:val="center" w:pos="4513"/>
        <w:tab w:val="right" w:pos="9026"/>
      </w:tabs>
    </w:pPr>
  </w:style>
  <w:style w:type="character" w:customStyle="1" w:styleId="HeaderChar">
    <w:name w:val="Header Char"/>
    <w:basedOn w:val="DefaultParagraphFont"/>
    <w:link w:val="Header"/>
    <w:uiPriority w:val="99"/>
    <w:rsid w:val="00BB784E"/>
    <w:rPr>
      <w:rFonts w:ascii="Times New Roman" w:eastAsia="Calibri" w:hAnsi="Times New Roman" w:cs="Times New Roman"/>
      <w:sz w:val="24"/>
      <w:szCs w:val="24"/>
      <w:lang w:eastAsia="en-AU"/>
    </w:rPr>
  </w:style>
  <w:style w:type="paragraph" w:styleId="Footer">
    <w:name w:val="footer"/>
    <w:basedOn w:val="Normal"/>
    <w:link w:val="FooterChar"/>
    <w:uiPriority w:val="99"/>
    <w:unhideWhenUsed/>
    <w:rsid w:val="00BB784E"/>
    <w:pPr>
      <w:tabs>
        <w:tab w:val="center" w:pos="4513"/>
        <w:tab w:val="right" w:pos="9026"/>
      </w:tabs>
    </w:pPr>
  </w:style>
  <w:style w:type="character" w:customStyle="1" w:styleId="FooterChar">
    <w:name w:val="Footer Char"/>
    <w:basedOn w:val="DefaultParagraphFont"/>
    <w:link w:val="Footer"/>
    <w:uiPriority w:val="99"/>
    <w:rsid w:val="00BB784E"/>
    <w:rPr>
      <w:rFonts w:ascii="Times New Roman" w:eastAsia="Calibri" w:hAnsi="Times New Roman" w:cs="Times New Roman"/>
      <w:sz w:val="24"/>
      <w:szCs w:val="24"/>
      <w:lang w:eastAsia="en-AU"/>
    </w:rPr>
  </w:style>
  <w:style w:type="paragraph" w:styleId="ListParagraph">
    <w:name w:val="List Paragraph"/>
    <w:basedOn w:val="Normal"/>
    <w:uiPriority w:val="34"/>
    <w:qFormat/>
    <w:rsid w:val="00F60959"/>
    <w:pPr>
      <w:ind w:left="720"/>
      <w:contextualSpacing/>
    </w:pPr>
  </w:style>
  <w:style w:type="paragraph" w:customStyle="1" w:styleId="Default">
    <w:name w:val="Default"/>
    <w:rsid w:val="00687E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937616"/>
    <w:rPr>
      <w:sz w:val="16"/>
      <w:szCs w:val="16"/>
    </w:rPr>
  </w:style>
  <w:style w:type="paragraph" w:styleId="CommentText">
    <w:name w:val="annotation text"/>
    <w:basedOn w:val="Normal"/>
    <w:link w:val="CommentTextChar"/>
    <w:semiHidden/>
    <w:unhideWhenUsed/>
    <w:rsid w:val="00937616"/>
    <w:rPr>
      <w:sz w:val="20"/>
      <w:szCs w:val="20"/>
    </w:rPr>
  </w:style>
  <w:style w:type="character" w:customStyle="1" w:styleId="CommentTextChar">
    <w:name w:val="Comment Text Char"/>
    <w:basedOn w:val="DefaultParagraphFont"/>
    <w:link w:val="CommentText"/>
    <w:semiHidden/>
    <w:rsid w:val="00937616"/>
    <w:rPr>
      <w:rFonts w:eastAsia="Calibri" w:cs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937616"/>
    <w:rPr>
      <w:b/>
      <w:bCs/>
    </w:rPr>
  </w:style>
  <w:style w:type="character" w:customStyle="1" w:styleId="CommentSubjectChar">
    <w:name w:val="Comment Subject Char"/>
    <w:basedOn w:val="CommentTextChar"/>
    <w:link w:val="CommentSubject"/>
    <w:uiPriority w:val="99"/>
    <w:semiHidden/>
    <w:rsid w:val="00937616"/>
    <w:rPr>
      <w:rFonts w:eastAsia="Calibri" w:cstheme="minorHAnsi"/>
      <w:b/>
      <w:bCs/>
      <w:sz w:val="20"/>
      <w:szCs w:val="20"/>
      <w:lang w:eastAsia="en-AU"/>
    </w:rPr>
  </w:style>
  <w:style w:type="table" w:styleId="TableGrid">
    <w:name w:val="Table Grid"/>
    <w:basedOn w:val="TableNormal"/>
    <w:uiPriority w:val="59"/>
    <w:rsid w:val="005C7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Reportquote">
    <w:name w:val="Draft Report quote"/>
    <w:basedOn w:val="Normal"/>
    <w:link w:val="DraftReportquoteChar"/>
    <w:qFormat/>
    <w:rsid w:val="001D6186"/>
    <w:pPr>
      <w:spacing w:after="200" w:line="276" w:lineRule="auto"/>
      <w:ind w:left="426" w:right="403"/>
    </w:pPr>
    <w:rPr>
      <w:rFonts w:ascii="Times New Roman" w:eastAsiaTheme="minorHAnsi" w:hAnsi="Times New Roman" w:cs="Times New Roman"/>
      <w:i/>
      <w:sz w:val="22"/>
      <w:lang w:eastAsia="en-US"/>
    </w:rPr>
  </w:style>
  <w:style w:type="character" w:customStyle="1" w:styleId="DraftReportquoteChar">
    <w:name w:val="Draft Report quote Char"/>
    <w:basedOn w:val="DefaultParagraphFont"/>
    <w:link w:val="DraftReportquote"/>
    <w:rsid w:val="001D6186"/>
    <w:rPr>
      <w:rFonts w:ascii="Times New Roman" w:hAnsi="Times New Roman" w:cs="Times New Roman"/>
      <w:i/>
      <w:szCs w:val="24"/>
    </w:rPr>
  </w:style>
  <w:style w:type="paragraph" w:styleId="Quote">
    <w:name w:val="Quote"/>
    <w:basedOn w:val="Normal"/>
    <w:next w:val="Normal"/>
    <w:link w:val="QuoteChar"/>
    <w:uiPriority w:val="29"/>
    <w:qFormat/>
    <w:rsid w:val="00696809"/>
    <w:pPr>
      <w:spacing w:before="240" w:after="240"/>
      <w:ind w:left="567" w:right="662"/>
      <w:jc w:val="both"/>
    </w:pPr>
    <w:rPr>
      <w:i/>
      <w:iCs/>
      <w:color w:val="000000" w:themeColor="text1"/>
      <w:sz w:val="22"/>
    </w:rPr>
  </w:style>
  <w:style w:type="character" w:customStyle="1" w:styleId="QuoteChar">
    <w:name w:val="Quote Char"/>
    <w:basedOn w:val="DefaultParagraphFont"/>
    <w:link w:val="Quote"/>
    <w:uiPriority w:val="29"/>
    <w:rsid w:val="00696809"/>
    <w:rPr>
      <w:rFonts w:eastAsia="Calibri" w:cstheme="minorHAnsi"/>
      <w:i/>
      <w:iCs/>
      <w:color w:val="000000" w:themeColor="text1"/>
      <w:szCs w:val="24"/>
      <w:lang w:eastAsia="en-AU"/>
    </w:rPr>
  </w:style>
  <w:style w:type="paragraph" w:customStyle="1" w:styleId="FooterEven">
    <w:name w:val="Footer Even"/>
    <w:basedOn w:val="Normal"/>
    <w:qFormat/>
    <w:rsid w:val="0058403A"/>
    <w:pPr>
      <w:pBdr>
        <w:top w:val="single" w:sz="4" w:space="1" w:color="4F81BD" w:themeColor="accent1"/>
      </w:pBdr>
      <w:spacing w:after="180" w:line="264" w:lineRule="auto"/>
    </w:pPr>
    <w:rPr>
      <w:rFonts w:eastAsiaTheme="minorHAnsi" w:cs="Times New Roman"/>
      <w:color w:val="1F497D" w:themeColor="text2"/>
      <w:sz w:val="20"/>
      <w:szCs w:val="20"/>
      <w:lang w:val="en-US" w:eastAsia="ja-JP"/>
    </w:rPr>
  </w:style>
  <w:style w:type="paragraph" w:customStyle="1" w:styleId="Tablefiguretitle">
    <w:name w:val="Table/figure title"/>
    <w:basedOn w:val="Normal"/>
    <w:rsid w:val="00971450"/>
    <w:pPr>
      <w:widowControl w:val="0"/>
      <w:spacing w:before="240" w:after="120"/>
    </w:pPr>
    <w:rPr>
      <w:rFonts w:ascii="Arial" w:eastAsia="Times New Roman" w:hAnsi="Arial" w:cs="Times New Roman"/>
      <w:b/>
      <w:color w:val="000000"/>
      <w:sz w:val="20"/>
      <w:szCs w:val="20"/>
      <w:lang w:eastAsia="en-US"/>
    </w:rPr>
  </w:style>
  <w:style w:type="character" w:customStyle="1" w:styleId="UnresolvedMention1">
    <w:name w:val="Unresolved Mention1"/>
    <w:basedOn w:val="DefaultParagraphFont"/>
    <w:uiPriority w:val="99"/>
    <w:semiHidden/>
    <w:unhideWhenUsed/>
    <w:rsid w:val="00DA5874"/>
    <w:rPr>
      <w:color w:val="808080"/>
      <w:shd w:val="clear" w:color="auto" w:fill="E6E6E6"/>
    </w:rPr>
  </w:style>
  <w:style w:type="paragraph" w:styleId="ListBullet2">
    <w:name w:val="List Bullet 2"/>
    <w:basedOn w:val="Normal"/>
    <w:uiPriority w:val="8"/>
    <w:semiHidden/>
    <w:unhideWhenUsed/>
    <w:qFormat/>
    <w:rsid w:val="00B74C02"/>
    <w:pPr>
      <w:numPr>
        <w:ilvl w:val="4"/>
        <w:numId w:val="2"/>
      </w:numPr>
      <w:tabs>
        <w:tab w:val="left" w:pos="1588"/>
      </w:tabs>
      <w:spacing w:before="120" w:after="60"/>
    </w:pPr>
    <w:rPr>
      <w:rFonts w:ascii="Arial" w:eastAsiaTheme="minorHAnsi" w:hAnsi="Arial" w:cstheme="minorBidi"/>
      <w:sz w:val="22"/>
      <w:szCs w:val="22"/>
      <w:lang w:eastAsia="en-US"/>
    </w:rPr>
  </w:style>
  <w:style w:type="paragraph" w:styleId="ListBullet3">
    <w:name w:val="List Bullet 3"/>
    <w:basedOn w:val="Normal"/>
    <w:uiPriority w:val="8"/>
    <w:semiHidden/>
    <w:unhideWhenUsed/>
    <w:qFormat/>
    <w:rsid w:val="00B74C02"/>
    <w:pPr>
      <w:numPr>
        <w:ilvl w:val="5"/>
        <w:numId w:val="2"/>
      </w:numPr>
      <w:tabs>
        <w:tab w:val="left" w:pos="1985"/>
      </w:tabs>
      <w:spacing w:before="120" w:after="60"/>
    </w:pPr>
    <w:rPr>
      <w:rFonts w:ascii="Arial" w:eastAsiaTheme="minorHAnsi" w:hAnsi="Arial" w:cstheme="minorBidi"/>
      <w:sz w:val="22"/>
      <w:szCs w:val="22"/>
      <w:lang w:eastAsia="en-US"/>
    </w:rPr>
  </w:style>
  <w:style w:type="paragraph" w:styleId="ListBullet4">
    <w:name w:val="List Bullet 4"/>
    <w:basedOn w:val="Normal"/>
    <w:uiPriority w:val="8"/>
    <w:semiHidden/>
    <w:unhideWhenUsed/>
    <w:qFormat/>
    <w:rsid w:val="00B74C02"/>
    <w:pPr>
      <w:numPr>
        <w:ilvl w:val="6"/>
        <w:numId w:val="2"/>
      </w:numPr>
      <w:tabs>
        <w:tab w:val="left" w:pos="2381"/>
      </w:tabs>
      <w:spacing w:before="120" w:after="60"/>
    </w:pPr>
    <w:rPr>
      <w:rFonts w:ascii="Arial" w:eastAsiaTheme="minorHAnsi" w:hAnsi="Arial" w:cstheme="minorBidi"/>
      <w:sz w:val="22"/>
      <w:szCs w:val="22"/>
      <w:lang w:eastAsia="en-US"/>
    </w:rPr>
  </w:style>
  <w:style w:type="paragraph" w:customStyle="1" w:styleId="NumListAlpha">
    <w:name w:val="Num List Alpha"/>
    <w:basedOn w:val="List2"/>
    <w:uiPriority w:val="5"/>
    <w:qFormat/>
    <w:rsid w:val="00B74C02"/>
    <w:pPr>
      <w:numPr>
        <w:ilvl w:val="1"/>
        <w:numId w:val="2"/>
      </w:numPr>
      <w:tabs>
        <w:tab w:val="num" w:pos="360"/>
        <w:tab w:val="left" w:pos="794"/>
        <w:tab w:val="left" w:pos="1191"/>
        <w:tab w:val="num" w:pos="1440"/>
      </w:tabs>
      <w:spacing w:before="120" w:after="60"/>
      <w:ind w:left="720" w:hanging="360"/>
      <w:contextualSpacing w:val="0"/>
    </w:pPr>
    <w:rPr>
      <w:rFonts w:ascii="Arial" w:eastAsiaTheme="minorHAnsi" w:hAnsi="Arial" w:cstheme="minorBidi"/>
      <w:sz w:val="22"/>
      <w:szCs w:val="22"/>
      <w:lang w:eastAsia="en-US"/>
    </w:rPr>
  </w:style>
  <w:style w:type="paragraph" w:customStyle="1" w:styleId="NumListIndent">
    <w:name w:val="Num List Indent"/>
    <w:basedOn w:val="NumListAlpha"/>
    <w:uiPriority w:val="6"/>
    <w:qFormat/>
    <w:rsid w:val="00B74C02"/>
    <w:pPr>
      <w:numPr>
        <w:ilvl w:val="2"/>
      </w:numPr>
      <w:tabs>
        <w:tab w:val="clear" w:pos="794"/>
        <w:tab w:val="clear" w:pos="851"/>
        <w:tab w:val="num" w:pos="360"/>
        <w:tab w:val="left" w:pos="1588"/>
        <w:tab w:val="num" w:pos="2160"/>
      </w:tabs>
      <w:ind w:left="2160" w:hanging="360"/>
    </w:pPr>
  </w:style>
  <w:style w:type="paragraph" w:styleId="ListBullet">
    <w:name w:val="List Bullet"/>
    <w:basedOn w:val="NumListIndent"/>
    <w:uiPriority w:val="8"/>
    <w:semiHidden/>
    <w:unhideWhenUsed/>
    <w:qFormat/>
    <w:rsid w:val="00B74C02"/>
    <w:pPr>
      <w:numPr>
        <w:ilvl w:val="3"/>
      </w:numPr>
      <w:tabs>
        <w:tab w:val="clear" w:pos="794"/>
        <w:tab w:val="clear" w:pos="1588"/>
        <w:tab w:val="num" w:pos="360"/>
        <w:tab w:val="num" w:pos="2880"/>
      </w:tabs>
      <w:ind w:left="2880" w:hanging="360"/>
    </w:pPr>
  </w:style>
  <w:style w:type="paragraph" w:styleId="List2">
    <w:name w:val="List 2"/>
    <w:basedOn w:val="Normal"/>
    <w:uiPriority w:val="99"/>
    <w:semiHidden/>
    <w:unhideWhenUsed/>
    <w:rsid w:val="00B74C02"/>
    <w:pPr>
      <w:ind w:left="720" w:hanging="360"/>
      <w:contextualSpacing/>
    </w:pPr>
  </w:style>
  <w:style w:type="character" w:customStyle="1" w:styleId="Heading3Char">
    <w:name w:val="Heading 3 Char"/>
    <w:basedOn w:val="DefaultParagraphFont"/>
    <w:link w:val="Heading3"/>
    <w:uiPriority w:val="9"/>
    <w:rsid w:val="00DD4D29"/>
    <w:rPr>
      <w:rFonts w:asciiTheme="majorHAnsi" w:eastAsiaTheme="majorEastAsia" w:hAnsiTheme="majorHAnsi" w:cstheme="majorBidi"/>
      <w:color w:val="243F60" w:themeColor="accent1" w:themeShade="7F"/>
      <w:sz w:val="24"/>
      <w:szCs w:val="24"/>
      <w:lang w:eastAsia="en-AU"/>
    </w:rPr>
  </w:style>
  <w:style w:type="character" w:customStyle="1" w:styleId="UnresolvedMention">
    <w:name w:val="Unresolved Mention"/>
    <w:basedOn w:val="DefaultParagraphFont"/>
    <w:uiPriority w:val="99"/>
    <w:semiHidden/>
    <w:unhideWhenUsed/>
    <w:rsid w:val="0075172C"/>
    <w:rPr>
      <w:color w:val="808080"/>
      <w:shd w:val="clear" w:color="auto" w:fill="E6E6E6"/>
    </w:rPr>
  </w:style>
  <w:style w:type="character" w:customStyle="1" w:styleId="fontstyle01">
    <w:name w:val="fontstyle01"/>
    <w:basedOn w:val="DefaultParagraphFont"/>
    <w:rsid w:val="00A936BF"/>
    <w:rPr>
      <w:rFonts w:ascii="ArialMT" w:hAnsi="ArialMT" w:hint="default"/>
      <w:b w:val="0"/>
      <w:bCs w:val="0"/>
      <w:i w:val="0"/>
      <w:iCs w:val="0"/>
      <w:color w:val="000000"/>
    </w:rPr>
  </w:style>
  <w:style w:type="character" w:customStyle="1" w:styleId="fontstyle21">
    <w:name w:val="fontstyle21"/>
    <w:basedOn w:val="DefaultParagraphFont"/>
    <w:rsid w:val="00A936BF"/>
    <w:rPr>
      <w:rFonts w:ascii="Arial-BoldMT" w:hAnsi="Arial-BoldMT" w:hint="default"/>
      <w:b/>
      <w:bCs/>
      <w:i w:val="0"/>
      <w:iCs w:val="0"/>
      <w:color w:val="000000"/>
    </w:rPr>
  </w:style>
  <w:style w:type="paragraph" w:styleId="FootnoteText">
    <w:name w:val="footnote text"/>
    <w:basedOn w:val="Normal"/>
    <w:link w:val="FootnoteTextChar"/>
    <w:uiPriority w:val="99"/>
    <w:semiHidden/>
    <w:unhideWhenUsed/>
    <w:rsid w:val="00852322"/>
    <w:rPr>
      <w:sz w:val="20"/>
      <w:szCs w:val="20"/>
    </w:rPr>
  </w:style>
  <w:style w:type="character" w:customStyle="1" w:styleId="FootnoteTextChar">
    <w:name w:val="Footnote Text Char"/>
    <w:basedOn w:val="DefaultParagraphFont"/>
    <w:link w:val="FootnoteText"/>
    <w:uiPriority w:val="99"/>
    <w:semiHidden/>
    <w:rsid w:val="00852322"/>
    <w:rPr>
      <w:rFonts w:eastAsia="Calibri" w:cstheme="minorHAnsi"/>
      <w:sz w:val="20"/>
      <w:szCs w:val="20"/>
      <w:lang w:eastAsia="en-AU"/>
    </w:rPr>
  </w:style>
  <w:style w:type="character" w:styleId="FootnoteReference">
    <w:name w:val="footnote reference"/>
    <w:basedOn w:val="DefaultParagraphFont"/>
    <w:uiPriority w:val="99"/>
    <w:semiHidden/>
    <w:unhideWhenUsed/>
    <w:rsid w:val="00852322"/>
    <w:rPr>
      <w:vertAlign w:val="superscript"/>
    </w:rPr>
  </w:style>
</w:styles>
</file>

<file path=word/webSettings.xml><?xml version="1.0" encoding="utf-8"?>
<w:webSettings xmlns:r="http://schemas.openxmlformats.org/officeDocument/2006/relationships" xmlns:w="http://schemas.openxmlformats.org/wordprocessingml/2006/main">
  <w:divs>
    <w:div w:id="24867292">
      <w:bodyDiv w:val="1"/>
      <w:marLeft w:val="0"/>
      <w:marRight w:val="0"/>
      <w:marTop w:val="0"/>
      <w:marBottom w:val="0"/>
      <w:divBdr>
        <w:top w:val="none" w:sz="0" w:space="0" w:color="auto"/>
        <w:left w:val="none" w:sz="0" w:space="0" w:color="auto"/>
        <w:bottom w:val="none" w:sz="0" w:space="0" w:color="auto"/>
        <w:right w:val="none" w:sz="0" w:space="0" w:color="auto"/>
      </w:divBdr>
    </w:div>
    <w:div w:id="94323674">
      <w:bodyDiv w:val="1"/>
      <w:marLeft w:val="0"/>
      <w:marRight w:val="0"/>
      <w:marTop w:val="0"/>
      <w:marBottom w:val="0"/>
      <w:divBdr>
        <w:top w:val="none" w:sz="0" w:space="0" w:color="auto"/>
        <w:left w:val="none" w:sz="0" w:space="0" w:color="auto"/>
        <w:bottom w:val="none" w:sz="0" w:space="0" w:color="auto"/>
        <w:right w:val="none" w:sz="0" w:space="0" w:color="auto"/>
      </w:divBdr>
    </w:div>
    <w:div w:id="154229038">
      <w:bodyDiv w:val="1"/>
      <w:marLeft w:val="0"/>
      <w:marRight w:val="0"/>
      <w:marTop w:val="0"/>
      <w:marBottom w:val="0"/>
      <w:divBdr>
        <w:top w:val="none" w:sz="0" w:space="0" w:color="auto"/>
        <w:left w:val="none" w:sz="0" w:space="0" w:color="auto"/>
        <w:bottom w:val="none" w:sz="0" w:space="0" w:color="auto"/>
        <w:right w:val="none" w:sz="0" w:space="0" w:color="auto"/>
      </w:divBdr>
    </w:div>
    <w:div w:id="166940047">
      <w:bodyDiv w:val="1"/>
      <w:marLeft w:val="0"/>
      <w:marRight w:val="0"/>
      <w:marTop w:val="0"/>
      <w:marBottom w:val="0"/>
      <w:divBdr>
        <w:top w:val="none" w:sz="0" w:space="0" w:color="auto"/>
        <w:left w:val="none" w:sz="0" w:space="0" w:color="auto"/>
        <w:bottom w:val="none" w:sz="0" w:space="0" w:color="auto"/>
        <w:right w:val="none" w:sz="0" w:space="0" w:color="auto"/>
      </w:divBdr>
    </w:div>
    <w:div w:id="253169478">
      <w:bodyDiv w:val="1"/>
      <w:marLeft w:val="0"/>
      <w:marRight w:val="0"/>
      <w:marTop w:val="0"/>
      <w:marBottom w:val="0"/>
      <w:divBdr>
        <w:top w:val="none" w:sz="0" w:space="0" w:color="auto"/>
        <w:left w:val="none" w:sz="0" w:space="0" w:color="auto"/>
        <w:bottom w:val="none" w:sz="0" w:space="0" w:color="auto"/>
        <w:right w:val="none" w:sz="0" w:space="0" w:color="auto"/>
      </w:divBdr>
    </w:div>
    <w:div w:id="267977619">
      <w:bodyDiv w:val="1"/>
      <w:marLeft w:val="0"/>
      <w:marRight w:val="0"/>
      <w:marTop w:val="0"/>
      <w:marBottom w:val="0"/>
      <w:divBdr>
        <w:top w:val="none" w:sz="0" w:space="0" w:color="auto"/>
        <w:left w:val="none" w:sz="0" w:space="0" w:color="auto"/>
        <w:bottom w:val="none" w:sz="0" w:space="0" w:color="auto"/>
        <w:right w:val="none" w:sz="0" w:space="0" w:color="auto"/>
      </w:divBdr>
    </w:div>
    <w:div w:id="268197610">
      <w:bodyDiv w:val="1"/>
      <w:marLeft w:val="0"/>
      <w:marRight w:val="0"/>
      <w:marTop w:val="0"/>
      <w:marBottom w:val="0"/>
      <w:divBdr>
        <w:top w:val="none" w:sz="0" w:space="0" w:color="auto"/>
        <w:left w:val="none" w:sz="0" w:space="0" w:color="auto"/>
        <w:bottom w:val="none" w:sz="0" w:space="0" w:color="auto"/>
        <w:right w:val="none" w:sz="0" w:space="0" w:color="auto"/>
      </w:divBdr>
    </w:div>
    <w:div w:id="290595647">
      <w:bodyDiv w:val="1"/>
      <w:marLeft w:val="0"/>
      <w:marRight w:val="0"/>
      <w:marTop w:val="0"/>
      <w:marBottom w:val="0"/>
      <w:divBdr>
        <w:top w:val="none" w:sz="0" w:space="0" w:color="auto"/>
        <w:left w:val="none" w:sz="0" w:space="0" w:color="auto"/>
        <w:bottom w:val="none" w:sz="0" w:space="0" w:color="auto"/>
        <w:right w:val="none" w:sz="0" w:space="0" w:color="auto"/>
      </w:divBdr>
    </w:div>
    <w:div w:id="419567805">
      <w:bodyDiv w:val="1"/>
      <w:marLeft w:val="0"/>
      <w:marRight w:val="0"/>
      <w:marTop w:val="0"/>
      <w:marBottom w:val="0"/>
      <w:divBdr>
        <w:top w:val="none" w:sz="0" w:space="0" w:color="auto"/>
        <w:left w:val="none" w:sz="0" w:space="0" w:color="auto"/>
        <w:bottom w:val="none" w:sz="0" w:space="0" w:color="auto"/>
        <w:right w:val="none" w:sz="0" w:space="0" w:color="auto"/>
      </w:divBdr>
    </w:div>
    <w:div w:id="564923504">
      <w:bodyDiv w:val="1"/>
      <w:marLeft w:val="0"/>
      <w:marRight w:val="0"/>
      <w:marTop w:val="0"/>
      <w:marBottom w:val="0"/>
      <w:divBdr>
        <w:top w:val="none" w:sz="0" w:space="0" w:color="auto"/>
        <w:left w:val="none" w:sz="0" w:space="0" w:color="auto"/>
        <w:bottom w:val="none" w:sz="0" w:space="0" w:color="auto"/>
        <w:right w:val="none" w:sz="0" w:space="0" w:color="auto"/>
      </w:divBdr>
    </w:div>
    <w:div w:id="617181322">
      <w:bodyDiv w:val="1"/>
      <w:marLeft w:val="0"/>
      <w:marRight w:val="0"/>
      <w:marTop w:val="0"/>
      <w:marBottom w:val="0"/>
      <w:divBdr>
        <w:top w:val="none" w:sz="0" w:space="0" w:color="auto"/>
        <w:left w:val="none" w:sz="0" w:space="0" w:color="auto"/>
        <w:bottom w:val="none" w:sz="0" w:space="0" w:color="auto"/>
        <w:right w:val="none" w:sz="0" w:space="0" w:color="auto"/>
      </w:divBdr>
    </w:div>
    <w:div w:id="715280548">
      <w:bodyDiv w:val="1"/>
      <w:marLeft w:val="0"/>
      <w:marRight w:val="0"/>
      <w:marTop w:val="0"/>
      <w:marBottom w:val="0"/>
      <w:divBdr>
        <w:top w:val="none" w:sz="0" w:space="0" w:color="auto"/>
        <w:left w:val="none" w:sz="0" w:space="0" w:color="auto"/>
        <w:bottom w:val="none" w:sz="0" w:space="0" w:color="auto"/>
        <w:right w:val="none" w:sz="0" w:space="0" w:color="auto"/>
      </w:divBdr>
    </w:div>
    <w:div w:id="809399412">
      <w:bodyDiv w:val="1"/>
      <w:marLeft w:val="0"/>
      <w:marRight w:val="0"/>
      <w:marTop w:val="0"/>
      <w:marBottom w:val="0"/>
      <w:divBdr>
        <w:top w:val="none" w:sz="0" w:space="0" w:color="auto"/>
        <w:left w:val="none" w:sz="0" w:space="0" w:color="auto"/>
        <w:bottom w:val="none" w:sz="0" w:space="0" w:color="auto"/>
        <w:right w:val="none" w:sz="0" w:space="0" w:color="auto"/>
      </w:divBdr>
    </w:div>
    <w:div w:id="816185720">
      <w:bodyDiv w:val="1"/>
      <w:marLeft w:val="0"/>
      <w:marRight w:val="0"/>
      <w:marTop w:val="0"/>
      <w:marBottom w:val="0"/>
      <w:divBdr>
        <w:top w:val="none" w:sz="0" w:space="0" w:color="auto"/>
        <w:left w:val="none" w:sz="0" w:space="0" w:color="auto"/>
        <w:bottom w:val="none" w:sz="0" w:space="0" w:color="auto"/>
        <w:right w:val="none" w:sz="0" w:space="0" w:color="auto"/>
      </w:divBdr>
    </w:div>
    <w:div w:id="828054389">
      <w:bodyDiv w:val="1"/>
      <w:marLeft w:val="0"/>
      <w:marRight w:val="0"/>
      <w:marTop w:val="0"/>
      <w:marBottom w:val="0"/>
      <w:divBdr>
        <w:top w:val="none" w:sz="0" w:space="0" w:color="auto"/>
        <w:left w:val="none" w:sz="0" w:space="0" w:color="auto"/>
        <w:bottom w:val="none" w:sz="0" w:space="0" w:color="auto"/>
        <w:right w:val="none" w:sz="0" w:space="0" w:color="auto"/>
      </w:divBdr>
    </w:div>
    <w:div w:id="839544768">
      <w:bodyDiv w:val="1"/>
      <w:marLeft w:val="0"/>
      <w:marRight w:val="0"/>
      <w:marTop w:val="0"/>
      <w:marBottom w:val="0"/>
      <w:divBdr>
        <w:top w:val="none" w:sz="0" w:space="0" w:color="auto"/>
        <w:left w:val="none" w:sz="0" w:space="0" w:color="auto"/>
        <w:bottom w:val="none" w:sz="0" w:space="0" w:color="auto"/>
        <w:right w:val="none" w:sz="0" w:space="0" w:color="auto"/>
      </w:divBdr>
    </w:div>
    <w:div w:id="939264361">
      <w:bodyDiv w:val="1"/>
      <w:marLeft w:val="0"/>
      <w:marRight w:val="0"/>
      <w:marTop w:val="0"/>
      <w:marBottom w:val="0"/>
      <w:divBdr>
        <w:top w:val="none" w:sz="0" w:space="0" w:color="auto"/>
        <w:left w:val="none" w:sz="0" w:space="0" w:color="auto"/>
        <w:bottom w:val="none" w:sz="0" w:space="0" w:color="auto"/>
        <w:right w:val="none" w:sz="0" w:space="0" w:color="auto"/>
      </w:divBdr>
    </w:div>
    <w:div w:id="983777354">
      <w:bodyDiv w:val="1"/>
      <w:marLeft w:val="0"/>
      <w:marRight w:val="0"/>
      <w:marTop w:val="0"/>
      <w:marBottom w:val="0"/>
      <w:divBdr>
        <w:top w:val="none" w:sz="0" w:space="0" w:color="auto"/>
        <w:left w:val="none" w:sz="0" w:space="0" w:color="auto"/>
        <w:bottom w:val="none" w:sz="0" w:space="0" w:color="auto"/>
        <w:right w:val="none" w:sz="0" w:space="0" w:color="auto"/>
      </w:divBdr>
    </w:div>
    <w:div w:id="1117676507">
      <w:bodyDiv w:val="1"/>
      <w:marLeft w:val="0"/>
      <w:marRight w:val="0"/>
      <w:marTop w:val="0"/>
      <w:marBottom w:val="0"/>
      <w:divBdr>
        <w:top w:val="none" w:sz="0" w:space="0" w:color="auto"/>
        <w:left w:val="none" w:sz="0" w:space="0" w:color="auto"/>
        <w:bottom w:val="none" w:sz="0" w:space="0" w:color="auto"/>
        <w:right w:val="none" w:sz="0" w:space="0" w:color="auto"/>
      </w:divBdr>
    </w:div>
    <w:div w:id="1369718819">
      <w:bodyDiv w:val="1"/>
      <w:marLeft w:val="0"/>
      <w:marRight w:val="0"/>
      <w:marTop w:val="0"/>
      <w:marBottom w:val="0"/>
      <w:divBdr>
        <w:top w:val="none" w:sz="0" w:space="0" w:color="auto"/>
        <w:left w:val="none" w:sz="0" w:space="0" w:color="auto"/>
        <w:bottom w:val="none" w:sz="0" w:space="0" w:color="auto"/>
        <w:right w:val="none" w:sz="0" w:space="0" w:color="auto"/>
      </w:divBdr>
    </w:div>
    <w:div w:id="1427456155">
      <w:bodyDiv w:val="1"/>
      <w:marLeft w:val="0"/>
      <w:marRight w:val="0"/>
      <w:marTop w:val="0"/>
      <w:marBottom w:val="0"/>
      <w:divBdr>
        <w:top w:val="none" w:sz="0" w:space="0" w:color="auto"/>
        <w:left w:val="none" w:sz="0" w:space="0" w:color="auto"/>
        <w:bottom w:val="none" w:sz="0" w:space="0" w:color="auto"/>
        <w:right w:val="none" w:sz="0" w:space="0" w:color="auto"/>
      </w:divBdr>
    </w:div>
    <w:div w:id="1554389471">
      <w:bodyDiv w:val="1"/>
      <w:marLeft w:val="0"/>
      <w:marRight w:val="0"/>
      <w:marTop w:val="0"/>
      <w:marBottom w:val="0"/>
      <w:divBdr>
        <w:top w:val="none" w:sz="0" w:space="0" w:color="auto"/>
        <w:left w:val="none" w:sz="0" w:space="0" w:color="auto"/>
        <w:bottom w:val="none" w:sz="0" w:space="0" w:color="auto"/>
        <w:right w:val="none" w:sz="0" w:space="0" w:color="auto"/>
      </w:divBdr>
    </w:div>
    <w:div w:id="1705590966">
      <w:bodyDiv w:val="1"/>
      <w:marLeft w:val="0"/>
      <w:marRight w:val="0"/>
      <w:marTop w:val="0"/>
      <w:marBottom w:val="0"/>
      <w:divBdr>
        <w:top w:val="none" w:sz="0" w:space="0" w:color="auto"/>
        <w:left w:val="none" w:sz="0" w:space="0" w:color="auto"/>
        <w:bottom w:val="none" w:sz="0" w:space="0" w:color="auto"/>
        <w:right w:val="none" w:sz="0" w:space="0" w:color="auto"/>
      </w:divBdr>
    </w:div>
    <w:div w:id="1744329726">
      <w:bodyDiv w:val="1"/>
      <w:marLeft w:val="0"/>
      <w:marRight w:val="0"/>
      <w:marTop w:val="0"/>
      <w:marBottom w:val="0"/>
      <w:divBdr>
        <w:top w:val="none" w:sz="0" w:space="0" w:color="auto"/>
        <w:left w:val="none" w:sz="0" w:space="0" w:color="auto"/>
        <w:bottom w:val="none" w:sz="0" w:space="0" w:color="auto"/>
        <w:right w:val="none" w:sz="0" w:space="0" w:color="auto"/>
      </w:divBdr>
    </w:div>
    <w:div w:id="1755054132">
      <w:bodyDiv w:val="1"/>
      <w:marLeft w:val="0"/>
      <w:marRight w:val="0"/>
      <w:marTop w:val="0"/>
      <w:marBottom w:val="0"/>
      <w:divBdr>
        <w:top w:val="none" w:sz="0" w:space="0" w:color="auto"/>
        <w:left w:val="none" w:sz="0" w:space="0" w:color="auto"/>
        <w:bottom w:val="none" w:sz="0" w:space="0" w:color="auto"/>
        <w:right w:val="none" w:sz="0" w:space="0" w:color="auto"/>
      </w:divBdr>
    </w:div>
    <w:div w:id="1947535688">
      <w:bodyDiv w:val="1"/>
      <w:marLeft w:val="0"/>
      <w:marRight w:val="0"/>
      <w:marTop w:val="0"/>
      <w:marBottom w:val="0"/>
      <w:divBdr>
        <w:top w:val="none" w:sz="0" w:space="0" w:color="auto"/>
        <w:left w:val="none" w:sz="0" w:space="0" w:color="auto"/>
        <w:bottom w:val="none" w:sz="0" w:space="0" w:color="auto"/>
        <w:right w:val="none" w:sz="0" w:space="0" w:color="auto"/>
      </w:divBdr>
    </w:div>
    <w:div w:id="21001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qldwater.com.au/LiteratureRetrieve.aspx?ID=241480&amp;A=SearchResult&amp;SearchID=134280903&amp;ObjectID=241480&amp;ObjectType=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ldwater.com.au/LiteratureRetrieve.aspx?ID=234017&amp;A=SearchResult&amp;SearchID=126724303&amp;ObjectID=234017&amp;ObjectType=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hp.qld.gov.au/water/monitoring/point-source-water-quality-offse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hp.qld.gov.au/water/monitoring/documents/draft-point-source-water-quality-offsets-policy.pdf" TargetMode="External"/><Relationship Id="rId4" Type="http://schemas.openxmlformats.org/officeDocument/2006/relationships/settings" Target="settings.xml"/><Relationship Id="rId9" Type="http://schemas.openxmlformats.org/officeDocument/2006/relationships/hyperlink" Target="https://www.ehp.qld.gov.au/water/monitoring/documents/market-based-nutrient-managment-pilo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A564-7D4A-499E-891B-F9E03CA0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Fearon</dc:creator>
  <cp:lastModifiedBy>Desire Gralton</cp:lastModifiedBy>
  <cp:revision>2</cp:revision>
  <cp:lastPrinted>2012-07-24T07:26:00Z</cp:lastPrinted>
  <dcterms:created xsi:type="dcterms:W3CDTF">2018-08-27T00:49:00Z</dcterms:created>
  <dcterms:modified xsi:type="dcterms:W3CDTF">2018-08-27T00:49:00Z</dcterms:modified>
</cp:coreProperties>
</file>